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02.png" ContentType="image/png"/>
  <Override PartName="/word/media/rId103.png" ContentType="image/png"/>
  <Override PartName="/word/media/rId89.png" ContentType="image/png"/>
  <Override PartName="/word/media/rId32.png" ContentType="image/png"/>
  <Override PartName="/word/media/rId91.png" ContentType="image/png"/>
  <Override PartName="/word/media/rId104.png" ContentType="image/png"/>
  <Override PartName="/word/media/rId84.png" ContentType="image/png"/>
  <Override PartName="/word/media/rId82.jpg" ContentType="image/jpeg"/>
  <Override PartName="/word/media/rId93.png" ContentType="image/png"/>
  <Override PartName="/word/media/rId63.png" ContentType="image/png"/>
  <Override PartName="/word/media/rId61.png" ContentType="image/png"/>
  <Override PartName="/word/media/rId8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Developing</w:t>
      </w:r>
      <w:r>
        <w:t xml:space="preserve"> </w:t>
      </w:r>
      <w:r>
        <w:t xml:space="preserve">novel</w:t>
      </w:r>
      <w:r>
        <w:t xml:space="preserve"> </w:t>
      </w:r>
      <w:r>
        <w:t xml:space="preserve">methods</w:t>
      </w:r>
      <w:r>
        <w:t xml:space="preserve"> </w:t>
      </w:r>
      <w:r>
        <w:t xml:space="preserve">for</w:t>
      </w:r>
      <w:r>
        <w:t xml:space="preserve"> </w:t>
      </w:r>
      <w:r>
        <w:t xml:space="preserve">gene</w:t>
      </w:r>
      <w:r>
        <w:t xml:space="preserve"> </w:t>
      </w:r>
      <w:r>
        <w:t xml:space="preserve">editing</w:t>
      </w:r>
      <w:r>
        <w:t xml:space="preserve"> </w:t>
      </w:r>
      <w:r>
        <w:t xml:space="preserve">in</w:t>
      </w:r>
      <w:r>
        <w:t xml:space="preserve"> </w:t>
      </w:r>
      <w:r>
        <w:t xml:space="preserve">trees</w:t>
      </w:r>
    </w:p>
    <w:p>
      <w:pPr>
        <w:pStyle w:val="Author"/>
      </w:pPr>
      <w:r>
        <w:t xml:space="preserve">Ben</w:t>
      </w:r>
      <w:r>
        <w:t xml:space="preserve"> </w:t>
      </w:r>
      <w:r>
        <w:t xml:space="preserve">Sivan</w:t>
      </w:r>
    </w:p>
    <w:p>
      <w:pPr>
        <w:pStyle w:val="Date"/>
      </w:pPr>
      <w:r>
        <w:t xml:space="preserve">april</w:t>
      </w:r>
      <w:r>
        <w:t xml:space="preserve"> </w:t>
      </w:r>
      <w:r>
        <w:t xml:space="preserve">2021</w:t>
      </w:r>
    </w:p>
    <w:p>
      <w:pPr>
        <w:pStyle w:val="FirstParagraph"/>
      </w:pPr>
      <w:r>
        <w:t xml:space="preserve">Signature of student:_______________Date:____/____/_______</w:t>
      </w:r>
      <w:r>
        <w:t xml:space="preserve"> </w:t>
      </w:r>
      <w:r>
        <w:t xml:space="preserve">Signature of supervisor:_______________Date:____/____/_______</w:t>
      </w:r>
      <w:r>
        <w:t xml:space="preserve">Signature of supervisor:_______________Date:____/____/_______</w:t>
      </w:r>
      <w:r>
        <w:t xml:space="preserve"> </w:t>
      </w:r>
      <w:r>
        <w:t xml:space="preserve">Signature of chairperson for graduate studies:_______________Date:____/____/_______</w:t>
      </w:r>
    </w:p>
    <w:p>
      <w:r>
        <w:br w:type="page"/>
      </w:r>
    </w:p>
    <w:bookmarkStart w:id="20" w:name="abstract"/>
    <w:p>
      <w:pPr>
        <w:pStyle w:val="Heading1"/>
      </w:pPr>
      <w:r>
        <w:rPr>
          <w:rStyle w:val="SectionNumber"/>
        </w:rPr>
        <w:t xml:space="preserve">1</w:t>
      </w:r>
      <w:r>
        <w:tab/>
      </w:r>
      <w:r>
        <w:t xml:space="preserve">Abstract</w:t>
      </w:r>
    </w:p>
    <w:p>
      <w:pPr>
        <w:pStyle w:val="FirstParagraph"/>
      </w:pPr>
      <w:r>
        <w:t xml:space="preserve">Global environmental change undermines food security. In comparison to most crops, trees are resilient to temperature fluctuations and</w:t>
      </w:r>
      <w:r>
        <w:t xml:space="preserve"> </w:t>
      </w:r>
      <w:r>
        <w:t xml:space="preserve">consequently offer vital insurance against famine. Crop improvement with available methods reaches a glass ceiling and genetic modification can contribute substantially to break through the barrier. Tissue culture is a required step in most genetic modification methods. Yet, tissue culture has its issues and the process is far from routine in most laboratories. In trees, because of long generation time, tissue culture issues become much more pronounced. In this work we are attempting to implement a novel gene editing method that doesn’t require tissue culture such as de-novo meristem induction and transformation, on trees. In this work We have shown that over expression of the gene combination</w:t>
      </w:r>
      <w:r>
        <w:t xml:space="preserve"> </w:t>
      </w:r>
      <w:r>
        <w:rPr>
          <w:iCs/>
          <w:i/>
        </w:rPr>
        <w:t xml:space="preserve">WUS2-STM</w:t>
      </w:r>
      <w:r>
        <w:t xml:space="preserve"> </w:t>
      </w:r>
      <w:r>
        <w:t xml:space="preserve">and</w:t>
      </w:r>
      <w:r>
        <w:t xml:space="preserve"> </w:t>
      </w:r>
      <w:r>
        <w:rPr>
          <w:iCs/>
          <w:i/>
        </w:rPr>
        <w:t xml:space="preserve">WOX11-STM</w:t>
      </w:r>
      <w:r>
        <w:t xml:space="preserve"> </w:t>
      </w:r>
      <w:r>
        <w:t xml:space="preserve">were successful in invoking de-novo shoot regeneration in a young apple plants, in planta.</w:t>
      </w:r>
    </w:p>
    <w:bookmarkEnd w:id="20"/>
    <w:bookmarkStart w:id="44" w:name="introduction"/>
    <w:p>
      <w:pPr>
        <w:pStyle w:val="Heading1"/>
      </w:pPr>
      <w:r>
        <w:rPr>
          <w:rStyle w:val="SectionNumber"/>
        </w:rPr>
        <w:t xml:space="preserve">2</w:t>
      </w:r>
      <w:r>
        <w:tab/>
      </w:r>
      <w:r>
        <w:t xml:space="preserve">Introduction</w:t>
      </w:r>
    </w:p>
    <w:bookmarkStart w:id="21" w:name="X2edcf4246711bfbaaa80aab790dce11cda02abc"/>
    <w:p>
      <w:pPr>
        <w:pStyle w:val="Heading2"/>
      </w:pPr>
      <w:r>
        <w:rPr>
          <w:rStyle w:val="SectionNumber"/>
        </w:rPr>
        <w:t xml:space="preserve">2.1</w:t>
      </w:r>
      <w:r>
        <w:tab/>
      </w:r>
      <w:r>
        <w:t xml:space="preserve">Trees and their vital role as source for food security</w:t>
      </w:r>
    </w:p>
    <w:p>
      <w:pPr>
        <w:pStyle w:val="FirstParagraph"/>
      </w:pPr>
      <w:r>
        <w:t xml:space="preserve">Food security is a fundamental necessity that kept mankind busy from the beginning of time. Many researchers today estimate that this need is under threat as a result of global environmental changes through land degradation, loss of biodiversity, changes in hydrology, and changes in climate patterns</w:t>
      </w:r>
      <w:r>
        <w:t xml:space="preserve">(Ericksen et al. 2009)</w:t>
      </w:r>
      <w:r>
        <w:t xml:space="preserve">, all that accompanying to population growth forecasts. Since the early 1990s, the number of extreme weather-related disasters has doubled</w:t>
      </w:r>
      <w:r>
        <w:t xml:space="preserve">(FAO 2020)</w:t>
      </w:r>
      <w:r>
        <w:t xml:space="preserve">. Higher temperatures, water scarcity, extreme events like droughts and floods have already begun to impact staple crops around the world</w:t>
      </w:r>
      <w:r>
        <w:t xml:space="preserve">(Linden &amp; Office 2015)</w:t>
      </w:r>
      <w:r>
        <w:t xml:space="preserve"> </w:t>
      </w:r>
      <w:r>
        <w:t xml:space="preserve">and has reduced the yields of major crops like Maize and wheat</w:t>
      </w:r>
      <w:r>
        <w:t xml:space="preserve">(Iglesius et al. 2001)</w:t>
      </w:r>
      <w:r>
        <w:t xml:space="preserve">. According to the Food and Agriculture Organization of the United Nations, the unpredictable reduction in yield of cereal crops in semi-arid regions of the world (like the Sahel region of Africa) is at least 80% the result of climate variability</w:t>
      </w:r>
      <w:r>
        <w:t xml:space="preserve">(Shiferaw et al. 2014)</w:t>
      </w:r>
      <w:r>
        <w:t xml:space="preserve">.</w:t>
      </w:r>
    </w:p>
    <w:p>
      <w:pPr>
        <w:pStyle w:val="BodyText"/>
      </w:pPr>
      <w:r>
        <w:t xml:space="preserve">Fruit trees contribute in many ways to improving diets and combating hunger around the world</w:t>
      </w:r>
      <w:r>
        <w:t xml:space="preserve">(Vinceti et al. 2013)</w:t>
      </w:r>
      <w:r>
        <w:t xml:space="preserve">. Trees are much more resilient for extreme weather-related disasters in comparison to most crops, and consequently they can offer vital insurance against famine during times of seasonal food shortages due to droughts, floods and heat/cold waves. This is the main reason behind the evergreen agriculture approach</w:t>
      </w:r>
      <w:r>
        <w:t xml:space="preserve">(Garrity et al. 2010)</w:t>
      </w:r>
      <w:r>
        <w:t xml:space="preserve">. Trees resilient is due to their being perennial woody plants, which allows them to grow strong, with durable trunk and long roots. In addition, fruit trees are able to produce large yield on a given area resulting from their vertical growth. This feature of the tree is its biggest drawback when it comes to breeding methods, as a result of the time required to select offspring with different traits.</w:t>
      </w:r>
    </w:p>
    <w:bookmarkEnd w:id="21"/>
    <w:bookmarkStart w:id="22" w:name="X25aef9183ba5adf73c6ca1d04424a588196ea28"/>
    <w:p>
      <w:pPr>
        <w:pStyle w:val="Heading2"/>
      </w:pPr>
      <w:r>
        <w:rPr>
          <w:rStyle w:val="SectionNumber"/>
        </w:rPr>
        <w:t xml:space="preserve">2.2</w:t>
      </w:r>
      <w:r>
        <w:tab/>
      </w:r>
      <w:r>
        <w:t xml:space="preserve">Genetic modification as a viable solution for crop improvement and food security</w:t>
      </w:r>
    </w:p>
    <w:p>
      <w:pPr>
        <w:pStyle w:val="FirstParagraph"/>
      </w:pPr>
      <w:r>
        <w:t xml:space="preserve">Since mankind developed the ability to grow plants for food, they started to develop methods to improve the yield. the most ancient method is the selection and propagation of plants with preferred traits such as larger seeds. This method creats an artificial selection pressure that allows the highlighting of desirable traits in the plant. This method mimics natural environmental selection pressure and is one of the main mechanisms of darwinian evolution for the adaptation of an organism to its environment. Despite this, this process is slow, dependent on additional mechanisms like random mutations and limited as a result of additional environmental conditioning that is beyond human control. Further more, additional traits are collected that are undesirable but unavoidable as a result of the mechanisms of genetic inheritance.</w:t>
      </w:r>
    </w:p>
    <w:p>
      <w:pPr>
        <w:pStyle w:val="BodyText"/>
      </w:pPr>
      <w:r>
        <w:t xml:space="preserve">The second method that man has developed for improving the crop is breeding. Improvement by hybridizing different varieties of plants with different traits some of which are desirable. Then, a selection process is performed on the offspring similar to the first method in favor of isolating individuals with the desired traits. Although this method is faster, it still takes many generations to get an improved strain. In annual crops, impressive results have been obtained that have changed the fate of the human race to extremes. In trees, as a result of a particularly long generation time, several years for fruiting from seed, the realization of the potential is not as high.</w:t>
      </w:r>
    </w:p>
    <w:p>
      <w:pPr>
        <w:pStyle w:val="BodyText"/>
      </w:pPr>
      <w:r>
        <w:t xml:space="preserve">With the understanding that the inherited genetic material is DNA, the ability was developed to utilize another of the most important mechanisms in Darwinian evolution which is random mutations. By exposing seeds to chemicals or radiation we are able to increase the frequency of mutation events, some fraction of those mutations results with desirable traits. This process is called mutation breeding and plants created using mutagenesis are sometimes called mutagenic plants or mutagenic seeds. There are different kinds of mutagenic breeding, for instance such as chemical mutagens like ethyl-methanesulfonate and dimethyl-sulfate, or radiation such as gamma rays and X-rays</w:t>
      </w:r>
      <w:r>
        <w:t xml:space="preserve">(Schouten &amp; Jacobsen 2007)</w:t>
      </w:r>
      <w:r>
        <w:t xml:space="preserve">. Although this method increase the rate of random mutation formation, its still relies on random occurrences and offspring selection.</w:t>
      </w:r>
    </w:p>
    <w:p>
      <w:pPr>
        <w:pStyle w:val="BodyText"/>
      </w:pPr>
      <w:r>
        <w:t xml:space="preserve">As a result of the genetic revolution, many genetic modification technologies were developed, some of them relevant for plants too. They can be divided into two groups, exogenous DNA delivery methods and site-specific endonucleases.</w:t>
      </w:r>
    </w:p>
    <w:bookmarkEnd w:id="22"/>
    <w:bookmarkStart w:id="26" w:name="exogenous-dna-delivery-methods"/>
    <w:p>
      <w:pPr>
        <w:pStyle w:val="Heading2"/>
      </w:pPr>
      <w:r>
        <w:rPr>
          <w:rStyle w:val="SectionNumber"/>
        </w:rPr>
        <w:t xml:space="preserve">2.3</w:t>
      </w:r>
      <w:r>
        <w:tab/>
      </w:r>
      <w:r>
        <w:t xml:space="preserve">Exogenous DNA delivery methods</w:t>
      </w:r>
    </w:p>
    <w:p>
      <w:pPr>
        <w:pStyle w:val="FirstParagraph"/>
      </w:pPr>
      <w:r>
        <w:t xml:space="preserve">Exogenous DNA delivery methods are techniques developed for the introduction of foreign DNA genes (exogenous) into a cell. In this work the focus would be regarding only plant cells.</w:t>
      </w:r>
    </w:p>
    <w:bookmarkStart w:id="23" w:name="Xb25ff746e950c2237857d4c5e3d2b6fb69c2728"/>
    <w:p>
      <w:pPr>
        <w:pStyle w:val="Heading3"/>
      </w:pPr>
      <w:r>
        <w:rPr>
          <w:rStyle w:val="SectionNumber"/>
        </w:rPr>
        <w:t xml:space="preserve">2.3.1</w:t>
      </w:r>
      <w:r>
        <w:tab/>
      </w:r>
      <w:r>
        <w:t xml:space="preserve">Biolistic particle delivery system or Gene gun</w:t>
      </w:r>
    </w:p>
    <w:p>
      <w:pPr>
        <w:pStyle w:val="FirstParagraph"/>
      </w:pPr>
      <w:r>
        <w:t xml:space="preserve">Gene gun or biolistic particle delivery system is a device used to deliver exogenous DNA (transgenes), RNA, or protein to cells. By coating particles of a heavy metal with a gene of interest and firing these micro-projectiles into cells using mechanical force, an integration of desired genetic information can be induced into cells. The technique involved with such micro-projectile delivery of DNA is often referred to as biolistics</w:t>
      </w:r>
      <w:r>
        <w:t xml:space="preserve">(O’Brien &amp; Lummis 2011)</w:t>
      </w:r>
      <w:r>
        <w:t xml:space="preserve">. This device is able to transform almost any type of cell and is not limited to the transformation of the nucleus, it can also transform organelles, including plastids and mitochondria</w:t>
      </w:r>
      <w:r>
        <w:t xml:space="preserve">(Rakoczy-Trojanowska 2002)</w:t>
      </w:r>
      <w:r>
        <w:t xml:space="preserve">. Biolistics has proven to be a versatile method of genetic modification and it is generally preferred to engineer transformation-resistant crops, such as cereals. Notably, Bt maize is a product of biolistics. Biolistics introduces DNA randomly into the target cells. Thus the DNA may be transformed into whatever genomes are present in the cell, either nuclear, mitochondrial, plasmid or any others, in any combination, though proper construct design may mitigate this. The delivery and integration of multiple templates of the DNA construct is a distinct possibility, resulting in potential variable expression levels and copy numbers of the inserted gene</w:t>
      </w:r>
      <w:r>
        <w:t xml:space="preserve">(Shewry et al. 2008)</w:t>
      </w:r>
      <w:r>
        <w:t xml:space="preserve">.</w:t>
      </w:r>
    </w:p>
    <w:bookmarkEnd w:id="23"/>
    <w:bookmarkStart w:id="24" w:name="protoplast-transformation"/>
    <w:p>
      <w:pPr>
        <w:pStyle w:val="Heading3"/>
      </w:pPr>
      <w:r>
        <w:rPr>
          <w:rStyle w:val="SectionNumber"/>
        </w:rPr>
        <w:t xml:space="preserve">2.3.2</w:t>
      </w:r>
      <w:r>
        <w:tab/>
      </w:r>
      <w:r>
        <w:t xml:space="preserve">Protoplast transformation</w:t>
      </w:r>
    </w:p>
    <w:p>
      <w:pPr>
        <w:pStyle w:val="FirstParagraph"/>
      </w:pPr>
      <w:r>
        <w:t xml:space="preserve">Protoplast refers to the entire cell excluding the cell wall. Protoplasts can be generated by stripping the cell wall from plant, bacterial, or fungal cells by mechanical, chemical or enzymatic means</w:t>
      </w:r>
      <w:r>
        <w:t xml:space="preserve">(Davey et al. 2005)</w:t>
      </w:r>
      <w:r>
        <w:t xml:space="preserve">. Treatment of protoplast-plasmid mixtures with PEG and/or electroporation is the approach normally exploited to induce DNA uptake into protoplasts. However, transformation frequencies typically remain low (ca. one in 104 protoplasts giving stably transformed tissues)</w:t>
      </w:r>
      <w:r>
        <w:t xml:space="preserve">(Davey et al. 2005)</w:t>
      </w:r>
      <w:r>
        <w:t xml:space="preserve">. Heat shock treatment and irradiation of recipient protoplasts enhance transformation frequency, probably by increasing the recombination of genomic DNA with incoming foreign DNA, or the initiation of repair mechanisms that favour DNA integration. Carrier DNA and the nature of the plant genome also affect transformation</w:t>
      </w:r>
      <w:r>
        <w:t xml:space="preserve">(Davey et al. 2005)</w:t>
      </w:r>
      <w:r>
        <w:t xml:space="preserve">. DNA uptake into protoplasts has been especially important in transforming plants that are not amenable to other methods of gene delivery, particularly agrobacterium-mediated transformation. Many of such studies focused on cereals, particularly rice, once protoplast-to-plant systems became available for these crops</w:t>
      </w:r>
      <w:r>
        <w:t xml:space="preserve">(Rakoczy-Trojanowska 2002)</w:t>
      </w:r>
      <w:r>
        <w:t xml:space="preserve">. However, protoplast regeneration into mature plants is hard to achieve in most plants, which is the major holdback of this approach.</w:t>
      </w:r>
    </w:p>
    <w:bookmarkEnd w:id="24"/>
    <w:bookmarkStart w:id="25" w:name="agrobacterium-mediated-transformation"/>
    <w:p>
      <w:pPr>
        <w:pStyle w:val="Heading3"/>
      </w:pPr>
      <w:r>
        <w:rPr>
          <w:rStyle w:val="SectionNumber"/>
        </w:rPr>
        <w:t xml:space="preserve">2.3.3</w:t>
      </w:r>
      <w:r>
        <w:tab/>
      </w:r>
      <w:r>
        <w:t xml:space="preserve">Agrobacterium-mediated transformation</w:t>
      </w:r>
    </w:p>
    <w:p>
      <w:pPr>
        <w:pStyle w:val="FirstParagraph"/>
      </w:pPr>
      <w:r>
        <w:t xml:space="preserve">Agrobacterium is a genus of Gram-negative bacteria that uses horizontal gene transfer to cause tumors in plants.</w:t>
      </w:r>
      <w:r>
        <w:t xml:space="preserve"> </w:t>
      </w:r>
      <w:r>
        <w:rPr>
          <w:iCs/>
          <w:i/>
        </w:rPr>
        <w:t xml:space="preserve">Agrobacterium tumefaciens</w:t>
      </w:r>
      <w:r>
        <w:t xml:space="preserve"> </w:t>
      </w:r>
      <w:r>
        <w:t xml:space="preserve">is the most commonly studied species in this genus. Agrobacterium is well known for its ability to transfer DNA between itself and plants, and for this reason it has become an important tool for genetic engineering. The ability of Agrobacterium to transfer genes to plants and fungi is used in biotechnology, in particular, genetic engineering for plant improvement. Genomes of plants can be engineered by use of Agrobacterium for the delivery of sequences hosted in transfer of a DNA segment (T-DNA) binary vector. The essential parts of the T-DNA are its two small (25 base pair) border repeats, at least one of which is needed for plant transformation. The genes to be introduced into the plant are cloned into a plant binary vector that contains the T-DNA region, together with a selectable marker (such as antibiotic resistance) to enable selection for plants that have been successfully transformed. Plants are grown on media containing antibiotics following transformation, and those that do not have the T-DNA integrated into their genome will die</w:t>
      </w:r>
      <w:r>
        <w:t xml:space="preserve">(Mukeshimana et al. 2013)</w:t>
      </w:r>
      <w:r>
        <w:t xml:space="preserve">. The most common methodology for introducing Agrobacterium to plant tissues is in liquid suspension of explant, then co-culture on agar medium in the dark. Another method is Agroinfiltration, used to induce transient expression of genes in a plant. Agroinfiltration is performed by direct injection or by vacuum infiltration of suspended</w:t>
      </w:r>
      <w:r>
        <w:t xml:space="preserve"> </w:t>
      </w:r>
      <w:r>
        <w:rPr>
          <w:iCs/>
          <w:i/>
        </w:rPr>
        <w:t xml:space="preserve">Agrobacterium tumefaciens</w:t>
      </w:r>
      <w:r>
        <w:t xml:space="preserve"> </w:t>
      </w:r>
      <w:r>
        <w:t xml:space="preserve">into a plant leaf. The main benefit of agroinfiltration when compared to the more traditional plant transformation is speed and convenience, although yields of the recombinant protein in traditional methods are generally higher and more consistent</w:t>
      </w:r>
      <w:r>
        <w:t xml:space="preserve">(Undervisningsministeriet 2014)</w:t>
      </w:r>
      <w:r>
        <w:t xml:space="preserve">. Floral dipping is another method that allows efficient plant agrobacterium-mediated transformation without need for tissue culture</w:t>
      </w:r>
      <w:r>
        <w:t xml:space="preserve">(Zhang et al. 2006)</w:t>
      </w:r>
      <w:r>
        <w:t xml:space="preserve">. Lately Zhang et al. shown promising work on pomelo, in which they intruduce a hybrid method of in planta and tissue culture, where the transformation took place in a close environment around incision on soil grown plant, with the use of antibiotics as selection and hormones for development induction</w:t>
      </w:r>
      <w:r>
        <w:t xml:space="preserve">(Zhang et al. 2017)</w:t>
      </w:r>
      <w:r>
        <w:t xml:space="preserve">.</w:t>
      </w:r>
    </w:p>
    <w:bookmarkEnd w:id="25"/>
    <w:bookmarkEnd w:id="26"/>
    <w:bookmarkStart w:id="30" w:name="site-specific-endonucleases"/>
    <w:p>
      <w:pPr>
        <w:pStyle w:val="Heading2"/>
      </w:pPr>
      <w:r>
        <w:rPr>
          <w:rStyle w:val="SectionNumber"/>
        </w:rPr>
        <w:t xml:space="preserve">2.4</w:t>
      </w:r>
      <w:r>
        <w:tab/>
      </w:r>
      <w:r>
        <w:t xml:space="preserve">Site-specific endonucleases</w:t>
      </w:r>
    </w:p>
    <w:p>
      <w:pPr>
        <w:pStyle w:val="FirstParagraph"/>
      </w:pPr>
      <w:r>
        <w:t xml:space="preserve">Site-specific endonucleases are enzymes that are capable of dissecting nucleic acid strands such as DNA or RNA at a specific target sequence. In contrast to restriction enzymes, this sequence can be engineered and hold longer sequences which increase it’s specificity.</w:t>
      </w:r>
    </w:p>
    <w:bookmarkStart w:id="27" w:name="zinc-finger-nucleases-zfns"/>
    <w:p>
      <w:pPr>
        <w:pStyle w:val="Heading3"/>
      </w:pPr>
      <w:r>
        <w:rPr>
          <w:rStyle w:val="SectionNumber"/>
        </w:rPr>
        <w:t xml:space="preserve">2.4.1</w:t>
      </w:r>
      <w:r>
        <w:tab/>
      </w:r>
      <w:r>
        <w:t xml:space="preserve">Zinc Finger Nucleases (ZFNs)</w:t>
      </w:r>
    </w:p>
    <w:p>
      <w:pPr>
        <w:pStyle w:val="FirstParagraph"/>
      </w:pPr>
      <w:r>
        <w:t xml:space="preserve">A zinc finger is a small protein structural motif that is characterized by the coordination of one or more zinc ions (Zn2+) in order to stabilize the fold. The ability to engineer zinc fingers to have an affinity for a specific sequence of DNA, made them suitable for important applications such as zinc finger nucleases and zinc finger transcription factors. While significant progress has been made in ZFNs engineering capability, a barrier to their widespread adoption has been the challenge in engineering new DNA binding specificities</w:t>
      </w:r>
      <w:r>
        <w:t xml:space="preserve">(Chandrasegaran et al. 1996)</w:t>
      </w:r>
      <w:r>
        <w:t xml:space="preserve">.</w:t>
      </w:r>
    </w:p>
    <w:bookmarkEnd w:id="27"/>
    <w:bookmarkStart w:id="28" w:name="Xb0910afd2c82c826335a2c380cac68532659159"/>
    <w:p>
      <w:pPr>
        <w:pStyle w:val="Heading3"/>
      </w:pPr>
      <w:r>
        <w:rPr>
          <w:rStyle w:val="SectionNumber"/>
        </w:rPr>
        <w:t xml:space="preserve">2.4.2</w:t>
      </w:r>
      <w:r>
        <w:tab/>
      </w:r>
      <w:r>
        <w:t xml:space="preserve">Transcription Activator-like Effector Nucleases (TALENs)</w:t>
      </w:r>
    </w:p>
    <w:p>
      <w:pPr>
        <w:pStyle w:val="FirstParagraph"/>
      </w:pPr>
      <w:r>
        <w:t xml:space="preserve">Transcription activator-like effector nucleases are restriction enzymes that can be engineered to cut specific sequences of DNA. They are made by fusing a TAL effector DNA-binding domain to a DNA cleavage domain (a nuclease which cuts DNA strands). The simple relationship between amino acid sequence and DNA recognition of the TALE binding domain allows for the efficient engineering of proteins. That said, the failure of some custom TALENs suggests that yet unknown rules govern the assembly of functional repeat domains. For example, repeat composition may influence protein stability</w:t>
      </w:r>
      <w:r>
        <w:t xml:space="preserve">(Christian et al. 2010)</w:t>
      </w:r>
      <w:r>
        <w:t xml:space="preserve">.</w:t>
      </w:r>
    </w:p>
    <w:bookmarkEnd w:id="28"/>
    <w:bookmarkStart w:id="29" w:name="Xbc068550fcd0f9e31c8b3ef792c36a1ab3c35d9"/>
    <w:p>
      <w:pPr>
        <w:pStyle w:val="Heading3"/>
      </w:pPr>
      <w:r>
        <w:rPr>
          <w:rStyle w:val="SectionNumber"/>
        </w:rPr>
        <w:t xml:space="preserve">2.4.3</w:t>
      </w:r>
      <w:r>
        <w:tab/>
      </w:r>
      <w:r>
        <w:t xml:space="preserve">Clustered Regularly Interspaced Short Palindromic Repeat (CRISPR)</w:t>
      </w:r>
    </w:p>
    <w:p>
      <w:pPr>
        <w:pStyle w:val="FirstParagraph"/>
      </w:pPr>
      <w:r>
        <w:t xml:space="preserve">CRISPR systems are part of the adaptive immune system of bacteria and archaea, protecting them from invading viruses by cleaving their DNA in a sequence-dependent manner. The immunity is acquired by the integration of short fragments of the invading DNA known as spacers between two adjacent repeats at the proximal end of a CRISPR locus. The CRISPR arrays, including the spacers, are transcribed during subsequent encounters with invasive DNA and are processed into small interfering CRISPR RNAs (crRNAs) approximately 40 nt in length, which combine with the transactivating CRISPR RNA (tracrRNA) to activate and guide the CRISPR Assosiated 9 (Cas9) nuclease</w:t>
      </w:r>
      <w:r>
        <w:t xml:space="preserve">(Barrangou et al. 2007)</w:t>
      </w:r>
      <w:r>
        <w:t xml:space="preserve">. A prerequisite for cleavage is the presence of a conserved protospacer-adjacent motif (PAM) downstream of the target DNA, which usually has the sequence 5’-NGG-3’</w:t>
      </w:r>
      <w:r>
        <w:t xml:space="preserve">(Gasiunas et al. 2012)</w:t>
      </w:r>
      <w:r>
        <w:t xml:space="preserve">. Jinek et al., re-engineered the Cas9 endonuclease into a more manageable two-component system by fusing the two RNA molecules into a</w:t>
      </w:r>
      <w:r>
        <w:t xml:space="preserve"> </w:t>
      </w:r>
      <w:r>
        <w:t xml:space="preserve">“</w:t>
      </w:r>
      <w:r>
        <w:t xml:space="preserve">single-guide RNA</w:t>
      </w:r>
      <w:r>
        <w:t xml:space="preserve">”</w:t>
      </w:r>
      <w:r>
        <w:t xml:space="preserve">(sgRNA) that, when combined with Cas9, could find and cut the DNA target specified by the guide RNA. By manipulating the nucleotide sequence of the guide RNA, the artificial Cas9 system could be programmed to target any DNA sequence for cleavage</w:t>
      </w:r>
      <w:r>
        <w:t xml:space="preserve">(Jinek et al. 2012)</w:t>
      </w:r>
      <w:r>
        <w:t xml:space="preserve">. The simplicity and accessibility of the CRISPR/Cas9 technology platform provides many advantages over other genome editing methods, and this means that loss-of-function screening is now feasible and affordable on a genomic scale</w:t>
      </w:r>
      <w:r>
        <w:t xml:space="preserve">(Shalem et al. 2014)</w:t>
      </w:r>
      <w:r>
        <w:t xml:space="preserve">. The Nobel Prize in Chemistry 2020 was awarded to Emmanuelle Charpentier and Jennifer A. Doudna for the development of the CRISPR/Cas9 enzyme as a genetic editing tool.</w:t>
      </w:r>
    </w:p>
    <w:bookmarkEnd w:id="29"/>
    <w:bookmarkEnd w:id="30"/>
    <w:bookmarkStart w:id="33" w:name="genetic-editing-bottleneck"/>
    <w:p>
      <w:pPr>
        <w:pStyle w:val="Heading2"/>
      </w:pPr>
      <w:r>
        <w:rPr>
          <w:rStyle w:val="SectionNumber"/>
        </w:rPr>
        <w:t xml:space="preserve">2.5</w:t>
      </w:r>
      <w:r>
        <w:tab/>
      </w:r>
      <w:r>
        <w:t xml:space="preserve">Genetic Editing bottleneck</w:t>
      </w:r>
    </w:p>
    <w:p>
      <w:pPr>
        <w:pStyle w:val="FirstParagraph"/>
      </w:pPr>
      <w:r>
        <w:t xml:space="preserve">Bottlenecks need to be overcome before the full potential of this technology is realized in plants. Plants distinguish themselves from most complex eukaryotes in the totipotency of their tissues</w:t>
      </w:r>
      <w:r>
        <w:t xml:space="preserve">(Indra &amp; Vimla 1972)</w:t>
      </w:r>
      <w:r>
        <w:t xml:space="preserve">. This has long allowed researchers to convert sectors of somatic tissue into whole plants, with the use aseptic tissue culture growth medium. This somatic-germinal conversion (or regeneration) is the foundation of most plant transformation approaches. Transgenes are delivered to isolated somatic tissue followed by selection for the transgene and regeneration of the modified tissue into a whole, transgenic plant</w:t>
      </w:r>
      <w:r>
        <w:t xml:space="preserve">(Rasmussen et al. 2017)</w:t>
      </w:r>
      <w:r>
        <w:t xml:space="preserve">. Despite many of these protocols being developed over decades, the process is far from routine in most laboratories. Further,success is often genotype dependent because specific growth medium need to be tuned for each new plant and the regenerated plants can have changes to their genome and epigenome</w:t>
      </w:r>
      <w:r>
        <w:t xml:space="preserve">(Kaeppler et al. 2000)</w:t>
      </w:r>
      <w:r>
        <w:t xml:space="preserve">. In trees, because of long generation time, these issues become much more pronounced.</w:t>
      </w:r>
    </w:p>
    <w:p>
      <w:pPr>
        <w:pStyle w:val="BodyText"/>
      </w:pPr>
      <w:r>
        <w:t xml:space="preserve">Crop production globally is improving, but this trend seems to approach a plateau as can be seen in the data from around the world regarding agricultural land area per capita, measured in hectares per person, (Figure</w:t>
      </w:r>
      <w:r>
        <w:t xml:space="preserve"> </w:t>
      </w:r>
      <w:r>
        <w:t xml:space="preserve">). The scale of sustained increase in global food production needed is unprecedented and requires substantial changes in methods for agronomic processes and crop improvement</w:t>
      </w:r>
      <w:r>
        <w:t xml:space="preserve">(Tester, Mark and Langridge 2010)</w:t>
      </w:r>
      <w:r>
        <w:t xml:space="preserve">. The new revolution, genetically modified crops could contribute to food production increases and higher food availability</w:t>
      </w:r>
      <w:r>
        <w:t xml:space="preserve">(Qaim &amp; Kouser 2013)</w:t>
      </w:r>
      <w:r>
        <w:t xml:space="preserve">.</w:t>
      </w:r>
    </w:p>
    <w:p>
      <w:pPr>
        <w:pStyle w:val="BodyText"/>
      </w:pPr>
      <w:r>
        <w:t xml:space="preserve">Origin data for Figure</w:t>
      </w:r>
      <w:r>
        <w:t xml:space="preserve"> </w:t>
      </w:r>
      <w:r>
        <w:t xml:space="preserve"> </w:t>
      </w:r>
      <w:r>
        <w:t xml:space="preserve">is available at</w:t>
      </w:r>
      <w:r>
        <w:t xml:space="preserve"> </w:t>
      </w:r>
      <w:hyperlink r:id="rId31">
        <w:r>
          <w:rPr>
            <w:rStyle w:val="Hyperlink"/>
          </w:rPr>
          <w:t xml:space="preserve">https://ourworldindata.org/</w:t>
        </w:r>
      </w:hyperlink>
      <w:r>
        <w:t xml:space="preserve">.</w:t>
      </w:r>
    </w:p>
    <w:p>
      <w:pPr>
        <w:pStyle w:val="CaptionedFigure"/>
      </w:pPr>
      <w:r>
        <w:drawing>
          <wp:inline>
            <wp:extent cx="4620126" cy="3696101"/>
            <wp:effectExtent b="0" l="0" r="0" t="0"/>
            <wp:docPr descr="Agricultural area per capita world-wide in hectare/person.   Average area  Maximum and minimum values" title="" id="1" name="Picture"/>
            <a:graphic>
              <a:graphicData uri="http://schemas.openxmlformats.org/drawingml/2006/picture">
                <pic:pic>
                  <pic:nvPicPr>
                    <pic:cNvPr descr="Developing-noval-methods-for-gene-editing-in-trees_files/figure-docx/agricultural%20area%20per%20capita-1.png" id="0" name="Picture"/>
                    <pic:cNvPicPr>
                      <a:picLocks noChangeArrowheads="1" noChangeAspect="1"/>
                    </pic:cNvPicPr>
                  </pic:nvPicPr>
                  <pic:blipFill>
                    <a:blip r:embed="rId32"/>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Agricultural area per capita world-wide in hectare/person.</w:t>
      </w:r>
      <w:r>
        <w:t xml:space="preserve"> </w:t>
      </w:r>
      <w:r>
        <w:t xml:space="preserve"> </w:t>
      </w:r>
      <w:r>
        <w:t xml:space="preserve"> </w:t>
      </w:r>
      <w:r>
        <w:t xml:space="preserve">Average area</w:t>
      </w:r>
      <w:r>
        <w:t xml:space="preserve"> </w:t>
      </w:r>
      <w:r>
        <w:t xml:space="preserve"> </w:t>
      </w:r>
      <w:r>
        <w:t xml:space="preserve">Maximum and minimum values</w:t>
      </w:r>
    </w:p>
    <w:bookmarkEnd w:id="33"/>
    <w:bookmarkStart w:id="35" w:name="advance-genetic-editing-technologies"/>
    <w:p>
      <w:pPr>
        <w:pStyle w:val="Heading2"/>
      </w:pPr>
      <w:r>
        <w:rPr>
          <w:rStyle w:val="SectionNumber"/>
        </w:rPr>
        <w:t xml:space="preserve">2.6</w:t>
      </w:r>
      <w:r>
        <w:tab/>
      </w:r>
      <w:r>
        <w:t xml:space="preserve">Advance genetic Editing technologies</w:t>
      </w:r>
    </w:p>
    <w:bookmarkStart w:id="34" w:name="X1434d0aea690e17a8522dd07069c4ae95261d49"/>
    <w:p>
      <w:pPr>
        <w:pStyle w:val="Heading3"/>
      </w:pPr>
      <w:r>
        <w:rPr>
          <w:rStyle w:val="SectionNumber"/>
        </w:rPr>
        <w:t xml:space="preserve">2.6.1</w:t>
      </w:r>
      <w:r>
        <w:tab/>
      </w:r>
      <w:r>
        <w:t xml:space="preserve">De-novo maristem induction and transformation</w:t>
      </w:r>
    </w:p>
    <w:p>
      <w:pPr>
        <w:pStyle w:val="FirstParagraph"/>
      </w:pPr>
      <w:r>
        <w:t xml:space="preserve">De-novo meristem induction is a novel technology that aims to bypass the need for tissue culture. Developmental regulators (DRs), CRISPR/Cas9 and sgRNA are delivered to somatic cells of whole plants through Agroinfiltration. This induces meristems that produce shoots solely in cells that were infected successfully with T-DNA bearing CRISPR/Cas9 and sgRNA. This method was first introduced by Maher et al.</w:t>
      </w:r>
      <w:r>
        <w:t xml:space="preserve">(Maher et al. 2020)</w:t>
      </w:r>
      <w:r>
        <w:t xml:space="preserve">.</w:t>
      </w:r>
    </w:p>
    <w:p>
      <w:pPr>
        <w:pStyle w:val="BodyText"/>
      </w:pPr>
      <w:r>
        <w:t xml:space="preserve">Examples of developmental regulators (DRs):</w:t>
      </w:r>
    </w:p>
    <w:p>
      <w:pPr>
        <w:numPr>
          <w:ilvl w:val="0"/>
          <w:numId w:val="1001"/>
        </w:numPr>
      </w:pPr>
      <w:r>
        <w:t xml:space="preserve">Wuschel2 (</w:t>
      </w:r>
      <w:r>
        <w:rPr>
          <w:iCs/>
          <w:i/>
        </w:rPr>
        <w:t xml:space="preserve">WUS2</w:t>
      </w:r>
      <w:r>
        <w:t xml:space="preserve">) from</w:t>
      </w:r>
      <w:r>
        <w:t xml:space="preserve"> </w:t>
      </w:r>
      <w:r>
        <w:rPr>
          <w:iCs/>
          <w:i/>
        </w:rPr>
        <w:t xml:space="preserve">Zea mays</w:t>
      </w:r>
      <w:r>
        <w:t xml:space="preserve"> </w:t>
      </w:r>
      <w:r>
        <w:t xml:space="preserve">(Maize) is a Transcription factor that plays a central role during early embryogenesis, Organogenesis and flowering, probably by regulating expression of specific genes. Required to specify stem cell identity in meristems, such as shoot apical meristem (SAM).</w:t>
      </w:r>
    </w:p>
    <w:p>
      <w:pPr>
        <w:numPr>
          <w:ilvl w:val="0"/>
          <w:numId w:val="1001"/>
        </w:numPr>
      </w:pPr>
      <w:r>
        <w:t xml:space="preserve">Shoot meristemless (</w:t>
      </w:r>
      <w:r>
        <w:rPr>
          <w:iCs/>
          <w:i/>
        </w:rPr>
        <w:t xml:space="preserve">STM</w:t>
      </w:r>
      <w:r>
        <w:t xml:space="preserve">) from</w:t>
      </w:r>
      <w:r>
        <w:t xml:space="preserve"> </w:t>
      </w:r>
      <w:r>
        <w:rPr>
          <w:iCs/>
          <w:i/>
        </w:rPr>
        <w:t xml:space="preserve">Arabidopsis thaliana</w:t>
      </w:r>
      <w:r>
        <w:t xml:space="preserve"> </w:t>
      </w:r>
      <w:r>
        <w:t xml:space="preserve">appears to function in keeping central meristem cells undifferentiated, thus</w:t>
      </w:r>
      <w:r>
        <w:t xml:space="preserve"> </w:t>
      </w:r>
      <w:r>
        <w:t xml:space="preserve">playing a major role in maintaining shoot and floral meristems.</w:t>
      </w:r>
    </w:p>
    <w:p>
      <w:pPr>
        <w:numPr>
          <w:ilvl w:val="0"/>
          <w:numId w:val="1001"/>
        </w:numPr>
      </w:pPr>
      <w:r>
        <w:t xml:space="preserve">Isopentenyl transferase (</w:t>
      </w:r>
      <w:r>
        <w:rPr>
          <w:iCs/>
          <w:i/>
        </w:rPr>
        <w:t xml:space="preserve">IPT</w:t>
      </w:r>
      <w:r>
        <w:t xml:space="preserve">) from the Ti-plasmid of</w:t>
      </w:r>
      <w:r>
        <w:t xml:space="preserve"> </w:t>
      </w:r>
      <w:r>
        <w:rPr>
          <w:iCs/>
          <w:i/>
        </w:rPr>
        <w:t xml:space="preserve">Agrobacterium tumefaciens</w:t>
      </w:r>
      <w:r>
        <w:t xml:space="preserve"> </w:t>
      </w:r>
      <w:r>
        <w:t xml:space="preserve">is a key enzyme in cytokinin biosynthesis.</w:t>
      </w:r>
    </w:p>
    <w:p>
      <w:pPr>
        <w:numPr>
          <w:ilvl w:val="0"/>
          <w:numId w:val="1001"/>
        </w:numPr>
      </w:pPr>
      <w:r>
        <w:t xml:space="preserve">Wuschel-related homeobox 11 (</w:t>
      </w:r>
      <w:r>
        <w:rPr>
          <w:iCs/>
          <w:i/>
        </w:rPr>
        <w:t xml:space="preserve">WOX11</w:t>
      </w:r>
      <w:r>
        <w:t xml:space="preserve">) from</w:t>
      </w:r>
      <w:r>
        <w:t xml:space="preserve"> </w:t>
      </w:r>
      <w:r>
        <w:rPr>
          <w:iCs/>
          <w:i/>
        </w:rPr>
        <w:t xml:space="preserve">populus trichocarpa</w:t>
      </w:r>
      <w:r>
        <w:t xml:space="preserve"> </w:t>
      </w:r>
      <w:r>
        <w:t xml:space="preserve">(Poplar tree) acts as master regulator conducting the expression of key transcription factors to induce de novo shoot organogenesis in poplar</w:t>
      </w:r>
      <w:r>
        <w:t xml:space="preserve">(Liu et al. 2018)</w:t>
      </w:r>
      <w:r>
        <w:t xml:space="preserve">.</w:t>
      </w:r>
    </w:p>
    <w:p>
      <w:pPr>
        <w:pStyle w:val="FirstParagraph"/>
      </w:pPr>
      <w:r>
        <w:t xml:space="preserve">DRs have a long history in plant development research, but only in recent years has started to make its way through to the field of transformation methods. WUSCHEL is the most known DR that is involved in the meristem cell identity. Several more DRs were identified in their capability to induce cell potency like the tumor induced gene IPT from</w:t>
      </w:r>
      <w:r>
        <w:t xml:space="preserve"> </w:t>
      </w:r>
      <w:r>
        <w:rPr>
          <w:iCs/>
          <w:i/>
        </w:rPr>
        <w:t xml:space="preserve">Agrobacterium tumefaciens</w:t>
      </w:r>
      <w:r>
        <w:t xml:space="preserve">. Novel methods for the identification of new tissue specific transcription factors and their goal as a DRs in the cell became possible and commonly used, such as tissue specific transcriptome.</w:t>
      </w:r>
    </w:p>
    <w:bookmarkEnd w:id="34"/>
    <w:bookmarkEnd w:id="35"/>
    <w:bookmarkStart w:id="36" w:name="X11727287931170f0a9b8748aa4bc109b0d7d026"/>
    <w:p>
      <w:pPr>
        <w:pStyle w:val="Heading2"/>
      </w:pPr>
      <w:r>
        <w:rPr>
          <w:rStyle w:val="SectionNumber"/>
        </w:rPr>
        <w:t xml:space="preserve">2.7</w:t>
      </w:r>
      <w:r>
        <w:tab/>
      </w:r>
      <w:r>
        <w:t xml:space="preserve">Green fluorescent protein (GFP) as a reporter gene for transformation</w:t>
      </w:r>
    </w:p>
    <w:p>
      <w:pPr>
        <w:pStyle w:val="FirstParagraph"/>
      </w:pPr>
      <w:r>
        <w:t xml:space="preserve">The green fluorescent protein is a protein that exhibits bright green fluorescence when exposed to light in the blue to ultraviolet range. In this study, it is used as a reporter gene for the agrobacterium transformation.</w:t>
      </w:r>
    </w:p>
    <w:bookmarkEnd w:id="36"/>
    <w:bookmarkStart w:id="37" w:name="poplar-as-a-model-organism-for-trees"/>
    <w:p>
      <w:pPr>
        <w:pStyle w:val="Heading2"/>
      </w:pPr>
      <w:r>
        <w:rPr>
          <w:rStyle w:val="SectionNumber"/>
        </w:rPr>
        <w:t xml:space="preserve">2.8</w:t>
      </w:r>
      <w:r>
        <w:tab/>
      </w:r>
      <w:r>
        <w:t xml:space="preserve">Poplar as a model organism for trees</w:t>
      </w:r>
    </w:p>
    <w:p>
      <w:pPr>
        <w:pStyle w:val="FirstParagraph"/>
      </w:pPr>
      <w:r>
        <w:rPr>
          <w:iCs/>
          <w:i/>
        </w:rPr>
        <w:t xml:space="preserve">Populus</w:t>
      </w:r>
      <w:r>
        <w:t xml:space="preserve"> </w:t>
      </w:r>
      <w:r>
        <w:t xml:space="preserve">proved valuable as a model tree for several reasons. poplar have rapid growth rate when compared with other trees, it is also easy to propagate and transform and it has a relatively small genome</w:t>
      </w:r>
      <w:r>
        <w:t xml:space="preserve"> </w:t>
      </w:r>
      <w:r>
        <w:t xml:space="preserve">(Taylor 2002)</w:t>
      </w:r>
      <w:r>
        <w:t xml:space="preserve">, 450-550Mbp, only 5.5 time larger than that of</w:t>
      </w:r>
      <w:r>
        <w:t xml:space="preserve"> </w:t>
      </w:r>
      <w:r>
        <w:rPr>
          <w:iCs/>
          <w:i/>
        </w:rPr>
        <w:t xml:space="preserve">Arabidopsis thaliana</w:t>
      </w:r>
      <w:r>
        <w:t xml:space="preserve">, and as much as 45 time smaller than that of pine tree. In this study a hybrid poplar clone of</w:t>
      </w:r>
      <w:r>
        <w:t xml:space="preserve"> </w:t>
      </w:r>
      <w:r>
        <w:rPr>
          <w:iCs/>
          <w:i/>
        </w:rPr>
        <w:t xml:space="preserve">Populus alba x tremula</w:t>
      </w:r>
      <w:r>
        <w:t xml:space="preserve"> </w:t>
      </w:r>
      <w:r>
        <w:t xml:space="preserve">is used.</w:t>
      </w:r>
    </w:p>
    <w:bookmarkEnd w:id="37"/>
    <w:bookmarkStart w:id="38" w:name="X38fd4c744e643fc5014f8c46becb87ba57d2d36"/>
    <w:p>
      <w:pPr>
        <w:pStyle w:val="Heading2"/>
      </w:pPr>
      <w:r>
        <w:rPr>
          <w:rStyle w:val="SectionNumber"/>
        </w:rPr>
        <w:t xml:space="preserve">2.9</w:t>
      </w:r>
      <w:r>
        <w:tab/>
      </w:r>
      <w:r>
        <w:t xml:space="preserve">Phytoene desaturase (PDS) gene as a reporter gene for gene editing target in poplar</w:t>
      </w:r>
    </w:p>
    <w:p>
      <w:pPr>
        <w:pStyle w:val="FirstParagraph"/>
      </w:pPr>
      <w:r>
        <w:t xml:space="preserve">phytoene desaturase gene encodes one of the important enzymes in the carotenoid biosynthesis pathway. Knockout of PDS gene disrupt the carotenoid synthesis and results in susceptibility to photobleaching of the chloroplasts, which in turn results in albino and dwarf phenotype. Thus, it is a suitable target for evaluation of gene knockout occurrences.</w:t>
      </w:r>
    </w:p>
    <w:bookmarkEnd w:id="38"/>
    <w:bookmarkStart w:id="39" w:name="apple-tree-as-a-commertial-crop"/>
    <w:p>
      <w:pPr>
        <w:pStyle w:val="Heading2"/>
      </w:pPr>
      <w:r>
        <w:rPr>
          <w:rStyle w:val="SectionNumber"/>
        </w:rPr>
        <w:t xml:space="preserve">2.10</w:t>
      </w:r>
      <w:r>
        <w:tab/>
      </w:r>
      <w:r>
        <w:t xml:space="preserve">Apple tree as a commertial crop</w:t>
      </w:r>
    </w:p>
    <w:p>
      <w:pPr>
        <w:pStyle w:val="FirstParagraph"/>
      </w:pPr>
      <w:r>
        <w:t xml:space="preserve">Apple trees are one of the most widely grown fruit tree in the world. In this study, apple plants are used as the commercial application for the transformation method.</w:t>
      </w:r>
    </w:p>
    <w:bookmarkEnd w:id="39"/>
    <w:bookmarkStart w:id="40" w:name="X85863de0e6e9a5973763c9adb2bc782db07a4bd"/>
    <w:p>
      <w:pPr>
        <w:pStyle w:val="Heading2"/>
      </w:pPr>
      <w:r>
        <w:rPr>
          <w:rStyle w:val="SectionNumber"/>
        </w:rPr>
        <w:t xml:space="preserve">2.11</w:t>
      </w:r>
      <w:r>
        <w:tab/>
      </w:r>
      <w:r>
        <w:t xml:space="preserve">Target gene S-RNase and it’s commercial importance as a target for gene editing in apples</w:t>
      </w:r>
    </w:p>
    <w:p>
      <w:pPr>
        <w:pStyle w:val="FirstParagraph"/>
      </w:pPr>
      <w:r>
        <w:t xml:space="preserve">Self-incompatibility (SI) is a complex process, one out of several mechanisms that prevent plants from self-fertilizing mainly by rejection of the male gametophyte to maintain and increase the genetic variability. Plants have evolved two distinct SI systems, the sporophytic (SSI) and the gametophytic (GSI) systems. In</w:t>
      </w:r>
      <w:r>
        <w:t xml:space="preserve"> </w:t>
      </w:r>
      <w:r>
        <w:rPr>
          <w:iCs/>
          <w:i/>
        </w:rPr>
        <w:t xml:space="preserve">Malus domestica</w:t>
      </w:r>
      <w:r>
        <w:t xml:space="preserve"> </w:t>
      </w:r>
      <w:r>
        <w:t xml:space="preserve">(Apple), the GSI system requires the production of female determinants, known as S-RNases, which penetrate the pollen tube to interact with the male determinants. The penetration of S-RNase into the pollen tube triggers a series of responses involving membrane proteins that inhibits the pollen-tube’s growth process</w:t>
      </w:r>
      <w:r>
        <w:t xml:space="preserve"> </w:t>
      </w:r>
      <w:r>
        <w:t xml:space="preserve">(Del Duca et al. 2019)</w:t>
      </w:r>
      <w:r>
        <w:t xml:space="preserve">. Enciso-Rodriguez et al. has shown that self-compatibility can be achieved by knockout of S-RNase gene in potato</w:t>
      </w:r>
      <w:r>
        <w:t xml:space="preserve"> </w:t>
      </w:r>
      <w:r>
        <w:t xml:space="preserve">(Enciso-Rodriguez et al. 2019)</w:t>
      </w:r>
      <w:r>
        <w:t xml:space="preserve">. To this day, the self-incompatibility is managed in apple plantation by planting compatible varieties in parallel rows. Therefore, the Development of self-compatible variety can increase the plantation yield drastically by enabling plantation of mono-variety blocks, hence the commercial importance.</w:t>
      </w:r>
    </w:p>
    <w:bookmarkEnd w:id="40"/>
    <w:bookmarkStart w:id="41" w:name="hypothesis"/>
    <w:p>
      <w:pPr>
        <w:pStyle w:val="Heading2"/>
      </w:pPr>
      <w:r>
        <w:rPr>
          <w:rStyle w:val="SectionNumber"/>
        </w:rPr>
        <w:t xml:space="preserve">2.12</w:t>
      </w:r>
      <w:r>
        <w:tab/>
      </w:r>
      <w:r>
        <w:t xml:space="preserve">Hypothesis</w:t>
      </w:r>
    </w:p>
    <w:p>
      <w:pPr>
        <w:pStyle w:val="FirstParagraph"/>
      </w:pPr>
      <w:r>
        <w:t xml:space="preserve">By infecting young plants with</w:t>
      </w:r>
      <w:r>
        <w:t xml:space="preserve"> </w:t>
      </w:r>
      <w:r>
        <w:rPr>
          <w:iCs/>
          <w:i/>
        </w:rPr>
        <w:t xml:space="preserve">Agrobacterium tumefaciens</w:t>
      </w:r>
      <w:r>
        <w:t xml:space="preserve"> </w:t>
      </w:r>
      <w:r>
        <w:t xml:space="preserve">harboring T-DNA that contains DRs, CRISPR/Cas9 and sgRNA, it is possible to achieve de-novo shoot regeneration with knockout at the target gene.</w:t>
      </w:r>
    </w:p>
    <w:bookmarkEnd w:id="41"/>
    <w:bookmarkStart w:id="42" w:name="milstones"/>
    <w:p>
      <w:pPr>
        <w:pStyle w:val="Heading2"/>
      </w:pPr>
      <w:r>
        <w:rPr>
          <w:rStyle w:val="SectionNumber"/>
        </w:rPr>
        <w:t xml:space="preserve">2.13</w:t>
      </w:r>
      <w:r>
        <w:tab/>
      </w:r>
      <w:r>
        <w:t xml:space="preserve">Milstones</w:t>
      </w:r>
    </w:p>
    <w:p>
      <w:pPr>
        <w:numPr>
          <w:ilvl w:val="0"/>
          <w:numId w:val="1002"/>
        </w:numPr>
      </w:pPr>
      <w:r>
        <w:t xml:space="preserve">Contraction of vectors with mix of DRs for shoot regeneration examination.</w:t>
      </w:r>
    </w:p>
    <w:p>
      <w:pPr>
        <w:numPr>
          <w:ilvl w:val="0"/>
          <w:numId w:val="1002"/>
        </w:numPr>
      </w:pPr>
      <w:r>
        <w:t xml:space="preserve">Achieve de-novo shoot regeneration as a result of the agro-infiltration.</w:t>
      </w:r>
    </w:p>
    <w:p>
      <w:pPr>
        <w:numPr>
          <w:ilvl w:val="0"/>
          <w:numId w:val="1002"/>
        </w:numPr>
      </w:pPr>
      <w:r>
        <w:t xml:space="preserve">Observe mutation in the target sequence.</w:t>
      </w:r>
    </w:p>
    <w:bookmarkEnd w:id="42"/>
    <w:bookmarkStart w:id="43" w:name="goal"/>
    <w:p>
      <w:pPr>
        <w:pStyle w:val="Heading2"/>
      </w:pPr>
      <w:r>
        <w:rPr>
          <w:rStyle w:val="SectionNumber"/>
        </w:rPr>
        <w:t xml:space="preserve">2.14</w:t>
      </w:r>
      <w:r>
        <w:tab/>
      </w:r>
      <w:r>
        <w:t xml:space="preserve">Goal</w:t>
      </w:r>
    </w:p>
    <w:p>
      <w:pPr>
        <w:numPr>
          <w:ilvl w:val="0"/>
          <w:numId w:val="1003"/>
        </w:numPr>
        <w:pStyle w:val="Compact"/>
      </w:pPr>
      <w:r>
        <w:t xml:space="preserve">Develop new method for in planta trees transformation.</w:t>
      </w:r>
    </w:p>
    <w:bookmarkEnd w:id="43"/>
    <w:bookmarkEnd w:id="44"/>
    <w:bookmarkStart w:id="51" w:name="materials-and-methods"/>
    <w:p>
      <w:pPr>
        <w:pStyle w:val="Heading1"/>
      </w:pPr>
      <w:r>
        <w:rPr>
          <w:rStyle w:val="SectionNumber"/>
        </w:rPr>
        <w:t xml:space="preserve">3</w:t>
      </w:r>
      <w:r>
        <w:tab/>
      </w:r>
      <w:r>
        <w:t xml:space="preserve">Materials and methods</w:t>
      </w:r>
    </w:p>
    <w:bookmarkStart w:id="45" w:name="plant-matirial"/>
    <w:p>
      <w:pPr>
        <w:pStyle w:val="Heading2"/>
      </w:pPr>
      <w:r>
        <w:rPr>
          <w:rStyle w:val="SectionNumber"/>
        </w:rPr>
        <w:t xml:space="preserve">3.1</w:t>
      </w:r>
      <w:r>
        <w:tab/>
      </w:r>
      <w:r>
        <w:t xml:space="preserve">Plant matirial</w:t>
      </w:r>
    </w:p>
    <w:p>
      <w:pPr>
        <w:pStyle w:val="FirstParagraph"/>
      </w:pPr>
      <w:r>
        <w:t xml:space="preserve">For the experiments in this work, we used two types of plant material. The first is</w:t>
      </w:r>
      <w:r>
        <w:t xml:space="preserve"> </w:t>
      </w:r>
      <w:r>
        <w:rPr>
          <w:iCs/>
          <w:i/>
        </w:rPr>
        <w:t xml:space="preserve">Populus Alba-Tremula</w:t>
      </w:r>
      <w:r>
        <w:t xml:space="preserve"> </w:t>
      </w:r>
      <w:r>
        <w:t xml:space="preserve">(PopAT) cultivar, which were reproduced by vegetative reproduction in tissue culture (Table</w:t>
      </w:r>
      <w:r>
        <w:t xml:space="preserve"> </w:t>
      </w:r>
      <w:r>
        <w:t xml:space="preserve">). The second is</w:t>
      </w:r>
      <w:r>
        <w:t xml:space="preserve"> </w:t>
      </w:r>
      <w:r>
        <w:rPr>
          <w:iCs/>
          <w:i/>
        </w:rPr>
        <w:t xml:space="preserve">Malus domestica</w:t>
      </w:r>
      <w:r>
        <w:t xml:space="preserve"> </w:t>
      </w:r>
      <w:r>
        <w:t xml:space="preserve">(apple) cultivar, from seeds that were extracted from apple fruits.</w:t>
      </w:r>
    </w:p>
    <w:bookmarkEnd w:id="45"/>
    <w:bookmarkStart w:id="50" w:name="protocols"/>
    <w:p>
      <w:pPr>
        <w:pStyle w:val="Heading2"/>
      </w:pPr>
      <w:r>
        <w:rPr>
          <w:rStyle w:val="SectionNumber"/>
        </w:rPr>
        <w:t xml:space="preserve">3.2</w:t>
      </w:r>
      <w:r>
        <w:tab/>
      </w:r>
      <w:r>
        <w:t xml:space="preserve">Protocols</w:t>
      </w:r>
    </w:p>
    <w:p>
      <w:pPr>
        <w:numPr>
          <w:ilvl w:val="0"/>
          <w:numId w:val="1004"/>
        </w:numPr>
        <w:pStyle w:val="Compact"/>
      </w:pPr>
      <w:hyperlink r:id="rId46">
        <w:r>
          <w:rPr>
            <w:rStyle w:val="Hyperlink"/>
          </w:rPr>
          <w:t xml:space="preserve">Gibson Assembly Cloning</w:t>
        </w:r>
      </w:hyperlink>
      <w:r>
        <w:t xml:space="preserve"> </w:t>
      </w:r>
      <w:r>
        <w:t xml:space="preserve">(Gibson et al. 2009)</w:t>
      </w:r>
    </w:p>
    <w:p>
      <w:pPr>
        <w:numPr>
          <w:ilvl w:val="0"/>
          <w:numId w:val="1004"/>
        </w:numPr>
        <w:pStyle w:val="Compact"/>
      </w:pPr>
      <w:hyperlink r:id="rId47">
        <w:r>
          <w:rPr>
            <w:rStyle w:val="Hyperlink"/>
          </w:rPr>
          <w:t xml:space="preserve">Golden-Gate cloning</w:t>
        </w:r>
      </w:hyperlink>
      <w:r>
        <w:t xml:space="preserve">(Čermák et al. 2017)</w:t>
      </w:r>
    </w:p>
    <w:p>
      <w:pPr>
        <w:numPr>
          <w:ilvl w:val="0"/>
          <w:numId w:val="1004"/>
        </w:numPr>
        <w:pStyle w:val="Compact"/>
      </w:pPr>
      <w:hyperlink r:id="rId48">
        <w:r>
          <w:rPr>
            <w:rStyle w:val="Hyperlink"/>
          </w:rPr>
          <w:t xml:space="preserve">Gel agarose for DNA electrophoresis</w:t>
        </w:r>
      </w:hyperlink>
    </w:p>
    <w:p>
      <w:pPr>
        <w:numPr>
          <w:ilvl w:val="0"/>
          <w:numId w:val="1004"/>
        </w:numPr>
        <w:pStyle w:val="Compact"/>
      </w:pPr>
      <w:r>
        <w:t xml:space="preserve">E.coli Heat-shock competent preperation</w:t>
      </w:r>
      <w:r>
        <w:t xml:space="preserve"> </w:t>
      </w:r>
      <w:r>
        <w:t xml:space="preserve">(Chang et al. 2017)</w:t>
      </w:r>
    </w:p>
    <w:p>
      <w:pPr>
        <w:numPr>
          <w:ilvl w:val="0"/>
          <w:numId w:val="1004"/>
        </w:numPr>
        <w:pStyle w:val="Compact"/>
      </w:pPr>
      <w:hyperlink r:id="rId49">
        <w:r>
          <w:rPr>
            <w:rStyle w:val="Hyperlink"/>
          </w:rPr>
          <w:t xml:space="preserve">E.coli heat-shock transformation</w:t>
        </w:r>
      </w:hyperlink>
      <w:r>
        <w:t xml:space="preserve"> </w:t>
      </w:r>
      <w:r>
        <w:t xml:space="preserve">(Chang et al. 2017)</w:t>
      </w:r>
    </w:p>
    <w:p>
      <w:pPr>
        <w:numPr>
          <w:ilvl w:val="0"/>
          <w:numId w:val="1004"/>
        </w:numPr>
        <w:pStyle w:val="Compact"/>
      </w:pPr>
      <w:r>
        <w:t xml:space="preserve">CTAB protocol for the isolating of DNA from plant tissues</w:t>
      </w:r>
      <w:r>
        <w:t xml:space="preserve">(Porebski et al. 1997)</w:t>
      </w:r>
    </w:p>
    <w:bookmarkEnd w:id="50"/>
    <w:bookmarkEnd w:id="51"/>
    <w:bookmarkStart w:id="79" w:name="experimants-scheme"/>
    <w:p>
      <w:pPr>
        <w:pStyle w:val="Heading1"/>
      </w:pPr>
      <w:r>
        <w:rPr>
          <w:rStyle w:val="SectionNumber"/>
        </w:rPr>
        <w:t xml:space="preserve">4</w:t>
      </w:r>
      <w:r>
        <w:tab/>
      </w:r>
      <w:r>
        <w:t xml:space="preserve">Experimants scheme</w:t>
      </w:r>
    </w:p>
    <w:bookmarkStart w:id="78" w:name="X588b9c1b9f9040a05e26fef0a3364f68757562f"/>
    <w:p>
      <w:pPr>
        <w:pStyle w:val="Heading2"/>
      </w:pPr>
      <w:r>
        <w:rPr>
          <w:rStyle w:val="SectionNumber"/>
        </w:rPr>
        <w:t xml:space="preserve">4.1</w:t>
      </w:r>
      <w:r>
        <w:tab/>
      </w:r>
      <w:r>
        <w:t xml:space="preserve">Implementing De-novo maristem induction and transformation.</w:t>
      </w:r>
    </w:p>
    <w:bookmarkStart w:id="60" w:name="X2bbd8e2510ee6db2ea3d517fa7db8b14e8e24a1"/>
    <w:p>
      <w:pPr>
        <w:pStyle w:val="Heading3"/>
      </w:pPr>
      <w:r>
        <w:rPr>
          <w:rStyle w:val="SectionNumber"/>
        </w:rPr>
        <w:t xml:space="preserve">4.1.1</w:t>
      </w:r>
      <w:r>
        <w:tab/>
      </w:r>
      <w:r>
        <w:t xml:space="preserve">Construction of plasmids containing DRs, Cas9 and sgRNAs</w:t>
      </w:r>
    </w:p>
    <w:p>
      <w:pPr>
        <w:pStyle w:val="FirstParagraph"/>
      </w:pPr>
      <w:r>
        <w:t xml:space="preserve">Constructing plasmids with combinations of DRs for de-novo maristem induction for novel transformation protocol.</w:t>
      </w:r>
    </w:p>
    <w:p>
      <w:pPr>
        <w:pStyle w:val="BodyText"/>
      </w:pPr>
      <w:r>
        <w:t xml:space="preserve">All the plasmid building blocks for the final vectors are bought from</w:t>
      </w:r>
      <w:r>
        <w:t xml:space="preserve"> </w:t>
      </w:r>
      <w:hyperlink r:id="rId52">
        <w:r>
          <w:rPr>
            <w:rStyle w:val="Hyperlink"/>
          </w:rPr>
          <w:t xml:space="preserve">Addgene</w:t>
        </w:r>
      </w:hyperlink>
      <w:r>
        <w:t xml:space="preserve"> </w:t>
      </w:r>
      <w:r>
        <w:t xml:space="preserve">(Table</w:t>
      </w:r>
      <w:r>
        <w:t xml:space="preserve"> </w:t>
      </w:r>
      <w:r>
        <w:t xml:space="preserve">), except for pMOD-B with S-RNase sgRNA array and pMOD-C with WOX11 from</w:t>
      </w:r>
      <w:r>
        <w:t xml:space="preserve"> </w:t>
      </w:r>
      <w:r>
        <w:rPr>
          <w:iCs/>
          <w:i/>
        </w:rPr>
        <w:t xml:space="preserve">Populus trichocarpa</w:t>
      </w:r>
      <w:r>
        <w:t xml:space="preserve"> </w:t>
      </w:r>
      <w:r>
        <w:t xml:space="preserve">which was assembled in-house.</w:t>
      </w:r>
    </w:p>
    <w:p>
      <w:pPr>
        <w:numPr>
          <w:ilvl w:val="0"/>
          <w:numId w:val="1005"/>
        </w:numPr>
        <w:pStyle w:val="Compact"/>
      </w:pPr>
      <w:r>
        <w:rPr>
          <w:bCs/>
          <w:b/>
        </w:rPr>
        <w:t xml:space="preserve">Species</w:t>
      </w:r>
      <w:r>
        <w:t xml:space="preserve"> </w:t>
      </w:r>
      <w:r>
        <w:t xml:space="preserve">column refers to the insert’s origin species.</w:t>
      </w:r>
    </w:p>
    <w:p>
      <w:pPr>
        <w:pStyle w:val="FirstParagraph"/>
      </w:pPr>
      <w:r>
        <w:t xml:space="preserve">For the assembly and validation off the final vectors, costume primers were used as detailed in Table</w:t>
      </w:r>
      <w:r>
        <w:t xml:space="preserve"> </w:t>
      </w:r>
      <w:r>
        <w:t xml:space="preserve">.</w:t>
      </w:r>
    </w:p>
    <w:p>
      <w:pPr>
        <w:pStyle w:val="BodyText"/>
      </w:pPr>
      <w:r>
        <w:t xml:space="preserve">The gene</w:t>
      </w:r>
      <w:r>
        <w:t xml:space="preserve"> </w:t>
      </w:r>
      <w:r>
        <w:rPr>
          <w:iCs/>
          <w:i/>
        </w:rPr>
        <w:t xml:space="preserve">WOX11</w:t>
      </w:r>
      <w:r>
        <w:t xml:space="preserve"> </w:t>
      </w:r>
      <w:r>
        <w:t xml:space="preserve">from</w:t>
      </w:r>
      <w:r>
        <w:t xml:space="preserve"> </w:t>
      </w:r>
      <w:r>
        <w:rPr>
          <w:iCs/>
          <w:i/>
        </w:rPr>
        <w:t xml:space="preserve">Populus trichocarpa</w:t>
      </w:r>
      <w:r>
        <w:t xml:space="preserve"> </w:t>
      </w:r>
      <w:r>
        <w:t xml:space="preserve">were synthesized into pUC57 plasmid as a service from</w:t>
      </w:r>
      <w:r>
        <w:t xml:space="preserve"> </w:t>
      </w:r>
      <w:hyperlink r:id="rId53">
        <w:r>
          <w:rPr>
            <w:rStyle w:val="Hyperlink"/>
          </w:rPr>
          <w:t xml:space="preserve">GenScript</w:t>
        </w:r>
      </w:hyperlink>
      <w:r>
        <w:t xml:space="preserve">(New Jersey, USA) and were assembled into pMOD-C backbone using</w:t>
      </w:r>
      <w:r>
        <w:t xml:space="preserve"> </w:t>
      </w:r>
      <w:hyperlink r:id="rId46">
        <w:r>
          <w:rPr>
            <w:rStyle w:val="Hyperlink"/>
          </w:rPr>
          <w:t xml:space="preserve">Gibson Assembly Cloning</w:t>
        </w:r>
      </w:hyperlink>
      <w:r>
        <w:t xml:space="preserve"> </w:t>
      </w:r>
      <w:r>
        <w:t xml:space="preserve">protocol</w:t>
      </w:r>
      <w:r>
        <w:t xml:space="preserve">(Gibson et al. 2009)</w:t>
      </w:r>
      <w:r>
        <w:t xml:space="preserve"> </w:t>
      </w:r>
      <w:r>
        <w:t xml:space="preserve">(Table</w:t>
      </w:r>
      <w:r>
        <w:t xml:space="preserve"> </w:t>
      </w:r>
      <w:r>
        <w:t xml:space="preserve">).</w:t>
      </w:r>
    </w:p>
    <w:p>
      <w:pPr>
        <w:pStyle w:val="BodyText"/>
      </w:pPr>
      <w:r>
        <w:t xml:space="preserve">The final plasmids were constructed into pTRANS backbone using</w:t>
      </w:r>
      <w:r>
        <w:t xml:space="preserve"> </w:t>
      </w:r>
      <w:hyperlink r:id="rId47">
        <w:r>
          <w:rPr>
            <w:rStyle w:val="Hyperlink"/>
          </w:rPr>
          <w:t xml:space="preserve">Golden-Gate cloning</w:t>
        </w:r>
      </w:hyperlink>
      <w:r>
        <w:t xml:space="preserve">(Čermák et al. 2017)</w:t>
      </w:r>
      <w:r>
        <w:t xml:space="preserve"> </w:t>
      </w:r>
      <w:r>
        <w:t xml:space="preserve">(Table</w:t>
      </w:r>
      <w:r>
        <w:t xml:space="preserve"> </w:t>
      </w:r>
      <w:r>
        <w:t xml:space="preserve">).</w:t>
      </w:r>
    </w:p>
    <w:p>
      <w:pPr>
        <w:pStyle w:val="BodyText"/>
      </w:pPr>
      <w:r>
        <w:t xml:space="preserve">Transformation of Top10 bacteria with constructs for replication was preformed using</w:t>
      </w:r>
      <w:r>
        <w:t xml:space="preserve"> </w:t>
      </w:r>
      <w:hyperlink r:id="rId49">
        <w:r>
          <w:rPr>
            <w:rStyle w:val="Hyperlink"/>
          </w:rPr>
          <w:t xml:space="preserve">heat-shock transformation</w:t>
        </w:r>
      </w:hyperlink>
      <w:r>
        <w:t xml:space="preserve"> </w:t>
      </w:r>
      <w:r>
        <w:t xml:space="preserve">and growing on</w:t>
      </w:r>
      <w:r>
        <w:t xml:space="preserve"> </w:t>
      </w:r>
      <w:hyperlink r:id="rId54">
        <w:r>
          <w:rPr>
            <w:rStyle w:val="Hyperlink"/>
          </w:rPr>
          <w:t xml:space="preserve">petri-dish</w:t>
        </w:r>
      </w:hyperlink>
      <w:r>
        <w:t xml:space="preserve"> </w:t>
      </w:r>
      <w:r>
        <w:t xml:space="preserve">(Greiner Bio-One™) containing</w:t>
      </w:r>
      <w:r>
        <w:t xml:space="preserve"> </w:t>
      </w:r>
      <w:hyperlink r:id="rId55">
        <w:r>
          <w:rPr>
            <w:rStyle w:val="Hyperlink"/>
          </w:rPr>
          <w:t xml:space="preserve">Lysogeny broth</w:t>
        </w:r>
      </w:hyperlink>
      <w:r>
        <w:t xml:space="preserve"> </w:t>
      </w:r>
      <w:r>
        <w:t xml:space="preserve">(LB from ForMedium™) medium with 1.1 %</w:t>
      </w:r>
      <w:r>
        <w:t xml:space="preserve"> </w:t>
      </w:r>
      <w:hyperlink r:id="rId56">
        <w:r>
          <w:rPr>
            <w:rStyle w:val="Hyperlink"/>
          </w:rPr>
          <w:t xml:space="preserve">Agar</w:t>
        </w:r>
      </w:hyperlink>
      <w:r>
        <w:t xml:space="preserve"> </w:t>
      </w:r>
      <w:r>
        <w:t xml:space="preserve">50 mg/L Ampicillin (Sigma-Aldrich™), at</w:t>
      </w:r>
      <w:r>
        <w:t xml:space="preserve"> </w:t>
      </w:r>
      <m:oMath>
        <m:sSup>
          <m:e>
            <m:r>
              <m:t>37</m:t>
            </m:r>
          </m:e>
          <m:sup>
            <m:r>
              <m:t>o</m:t>
            </m:r>
          </m:sup>
        </m:sSup>
        <m:r>
          <m:t>C</m:t>
        </m:r>
      </m:oMath>
      <w:r>
        <w:t xml:space="preserve"> </w:t>
      </w:r>
      <w:r>
        <w:t xml:space="preserve">over-night. Evaluating constructs using colony PCR (Polymerase chain reaction) reaction (Table</w:t>
      </w:r>
      <w:r>
        <w:t xml:space="preserve"> </w:t>
      </w:r>
      <w:r>
        <w:t xml:space="preserve">). Growing positive colonies in LB liquid-medium (containing 50 mg/L Ampicillin), shaking 200 rpm over-night at</w:t>
      </w:r>
      <w:r>
        <w:t xml:space="preserve"> </w:t>
      </w:r>
      <m:oMath>
        <m:sSup>
          <m:e>
            <m:r>
              <m:t>37</m:t>
            </m:r>
          </m:e>
          <m:sup>
            <m:r>
              <m:t>o</m:t>
            </m:r>
          </m:sup>
        </m:sSup>
        <m:r>
          <m:t>C</m:t>
        </m:r>
      </m:oMath>
      <w:r>
        <w:t xml:space="preserve">. Purifying constructs using</w:t>
      </w:r>
      <w:r>
        <w:t xml:space="preserve"> </w:t>
      </w:r>
      <w:hyperlink r:id="rId57">
        <w:r>
          <w:rPr>
            <w:rStyle w:val="Hyperlink"/>
          </w:rPr>
          <w:t xml:space="preserve">miniplsmid putification kit</w:t>
        </w:r>
      </w:hyperlink>
      <w:r>
        <w:t xml:space="preserve"> </w:t>
      </w:r>
      <w:r>
        <w:t xml:space="preserve">(Presto™).</w:t>
      </w:r>
    </w:p>
    <w:p>
      <w:pPr>
        <w:pStyle w:val="BodyText"/>
      </w:pPr>
      <w:r>
        <w:t xml:space="preserve">Transformation of EHA-105 agrobacterium using electroporation</w:t>
      </w:r>
      <w:r>
        <w:t xml:space="preserve"> </w:t>
      </w:r>
      <w:hyperlink r:id="rId58">
        <w:r>
          <w:rPr>
            <w:rStyle w:val="Hyperlink"/>
          </w:rPr>
          <w:t xml:space="preserve">MicroPulser Electroporator by Bio-Rad</w:t>
        </w:r>
      </w:hyperlink>
      <w:r>
        <w:t xml:space="preserve"> </w:t>
      </w:r>
      <w:r>
        <w:t xml:space="preserve">and growing on petri-dish containing LB-agar medium with 50 mg/L Ampicillin and 50 mg/L Rifampicin (Sigma-Aldrich™) at</w:t>
      </w:r>
      <w:r>
        <w:t xml:space="preserve"> </w:t>
      </w:r>
      <m:oMath>
        <m:sSup>
          <m:e>
            <m:r>
              <m:t>28</m:t>
            </m:r>
          </m:e>
          <m:sup>
            <m:r>
              <m:t>o</m:t>
            </m:r>
          </m:sup>
        </m:sSup>
        <m:r>
          <m:t>C</m:t>
        </m:r>
      </m:oMath>
      <w:r>
        <w:t xml:space="preserve"> </w:t>
      </w:r>
      <w:r>
        <w:t xml:space="preserve">for 2 days.</w:t>
      </w:r>
      <w:r>
        <w:t xml:space="preserve"> </w:t>
      </w:r>
      <w:r>
        <w:t xml:space="preserve">Positive colonies are validated again using colony PCR.</w:t>
      </w:r>
    </w:p>
    <w:p>
      <w:pPr>
        <w:pStyle w:val="BodyText"/>
      </w:pPr>
      <w:r>
        <w:t xml:space="preserve">Cultures of each positive EHA-105 agrobacterium are spread on new petri-dish containing LB-agar medium with 50 mg/L Ampicillin and 50 mg/L Rifampicin at</w:t>
      </w:r>
      <w:r>
        <w:t xml:space="preserve"> </w:t>
      </w:r>
      <m:oMath>
        <m:sSup>
          <m:e>
            <m:r>
              <m:t>28</m:t>
            </m:r>
          </m:e>
          <m:sup>
            <m:r>
              <m:t>o</m:t>
            </m:r>
          </m:sup>
        </m:sSup>
        <m:r>
          <m:t>C</m:t>
        </m:r>
      </m:oMath>
      <w:r>
        <w:t xml:space="preserve"> </w:t>
      </w:r>
      <w:r>
        <w:t xml:space="preserve">for 4 days. At the day of plant transformation, the whole plate is picked using Drigalski spatula and transferred to 2 ml</w:t>
      </w:r>
      <w:r>
        <w:t xml:space="preserve"> </w:t>
      </w:r>
      <w:hyperlink r:id="rId59">
        <w:r>
          <w:rPr>
            <w:rStyle w:val="Hyperlink"/>
          </w:rPr>
          <w:t xml:space="preserve">Microcentrifuge</w:t>
        </w:r>
      </w:hyperlink>
      <w:r>
        <w:t xml:space="preserve"> </w:t>
      </w:r>
      <w:r>
        <w:t xml:space="preserve">(Pierce™) with a tip. The transferred colonies are weighed and elut in 2</w:t>
      </w:r>
      <w:r>
        <w:t xml:space="preserve"> </w:t>
      </w:r>
      <m:oMath>
        <m:r>
          <m:t>μ</m:t>
        </m:r>
        <m:r>
          <m:t>l</m:t>
        </m:r>
      </m:oMath>
      <w:r>
        <w:t xml:space="preserve"> </w:t>
      </w:r>
      <w:r>
        <w:t xml:space="preserve">per mg Liquid medium containing</w:t>
      </w:r>
      <w:r>
        <w:t xml:space="preserve"> </w:t>
      </w:r>
      <m:oMath>
        <m:r>
          <m:t>1</m:t>
        </m:r>
        <m:r>
          <m:rPr>
            <m:sty m:val="p"/>
          </m:rPr>
          <m:t>/</m:t>
        </m:r>
        <m:r>
          <m:t>2</m:t>
        </m:r>
      </m:oMath>
      <w:r>
        <w:t xml:space="preserve"> </w:t>
      </w:r>
      <w:r>
        <w:t xml:space="preserve">Murashige &amp; Skoog (MS from Sigma-Aldrich™), 1 % sucrose and 200</w:t>
      </w:r>
      <w:r>
        <w:t xml:space="preserve"> </w:t>
      </w:r>
      <m:oMath>
        <m:r>
          <m:t>μ</m:t>
        </m:r>
        <m:r>
          <m:t>M</m:t>
        </m:r>
      </m:oMath>
      <w:r>
        <w:t xml:space="preserve"> </w:t>
      </w:r>
      <w:r>
        <w:t xml:space="preserve">acetosyringone (Sigma-Aldrich™).</w:t>
      </w:r>
    </w:p>
    <w:bookmarkEnd w:id="60"/>
    <w:bookmarkStart w:id="62" w:name="infection-methods-experiment"/>
    <w:p>
      <w:pPr>
        <w:pStyle w:val="Heading3"/>
      </w:pPr>
      <w:r>
        <w:rPr>
          <w:rStyle w:val="SectionNumber"/>
        </w:rPr>
        <w:t xml:space="preserve">4.1.2</w:t>
      </w:r>
      <w:r>
        <w:tab/>
      </w:r>
      <w:r>
        <w:t xml:space="preserve">Infection methods experiment</w:t>
      </w:r>
    </w:p>
    <w:p>
      <w:pPr>
        <w:pStyle w:val="FirstParagraph"/>
      </w:pPr>
      <w:r>
        <w:t xml:space="preserve">The first experiment is designed for the assessment of different infection methods on the agro-infection effectiveness.</w:t>
      </w:r>
      <w:r>
        <w:t xml:space="preserve"> </w:t>
      </w:r>
      <w:r>
        <w:t xml:space="preserve">Seeds are extracted from apple of the variety Pink-lady, that have been refrigerated for few months. The seeds are then grown in a germination tray (11X17 cells) for 1 month.</w:t>
      </w:r>
    </w:p>
    <w:p>
      <w:pPr>
        <w:pStyle w:val="BodyText"/>
      </w:pPr>
      <w:r>
        <w:t xml:space="preserve">Three methods of Agro-infection was tested on the plants. The first is agro-infiltration to the leaves through pressure with needleless syringe. The second is micro-stabs of concentrated bacteria culture into the leaf vains. The last is vertical cut of the stem as far as possible from the nearest axillary bud below and injection of concentrated bacteria culture into the cut (Figure</w:t>
      </w:r>
      <w:r>
        <w:t xml:space="preserve"> </w:t>
      </w:r>
      <w:r>
        <w:t xml:space="preserve">). Each infection method got repetitions with each construct as follows: first 4, second 3, third 1.</w:t>
      </w:r>
    </w:p>
    <w:p>
      <w:pPr>
        <w:pStyle w:val="CaptionedFigure"/>
      </w:pPr>
      <w:r>
        <w:drawing>
          <wp:inline>
            <wp:extent cx="5334000" cy="1792284"/>
            <wp:effectExtent b="0" l="0" r="0" t="0"/>
            <wp:docPr descr="Infection of Apples with A.tumefaciens, three methods.   agro-infiltration to the leaves  micro-stabs to the leaf vains  injection to the stem cut" title="" id="1" name="Picture"/>
            <a:graphic>
              <a:graphicData uri="http://schemas.openxmlformats.org/drawingml/2006/picture">
                <pic:pic>
                  <pic:nvPicPr>
                    <pic:cNvPr descr="apple%20injection3.png" id="0" name="Picture"/>
                    <pic:cNvPicPr>
                      <a:picLocks noChangeArrowheads="1" noChangeAspect="1"/>
                    </pic:cNvPicPr>
                  </pic:nvPicPr>
                  <pic:blipFill>
                    <a:blip r:embed="rId61"/>
                    <a:stretch>
                      <a:fillRect/>
                    </a:stretch>
                  </pic:blipFill>
                  <pic:spPr bwMode="auto">
                    <a:xfrm>
                      <a:off x="0" y="0"/>
                      <a:ext cx="5334000" cy="1792284"/>
                    </a:xfrm>
                    <a:prstGeom prst="rect">
                      <a:avLst/>
                    </a:prstGeom>
                    <a:noFill/>
                    <a:ln w="9525">
                      <a:noFill/>
                      <a:headEnd/>
                      <a:tailEnd/>
                    </a:ln>
                  </pic:spPr>
                </pic:pic>
              </a:graphicData>
            </a:graphic>
          </wp:inline>
        </w:drawing>
      </w:r>
    </w:p>
    <w:p>
      <w:pPr>
        <w:pStyle w:val="ImageCaption"/>
      </w:pPr>
      <w:r>
        <w:t xml:space="preserve">Infection of Apples with A.tumefaciens, three methods.</w:t>
      </w:r>
      <w:r>
        <w:t xml:space="preserve"> </w:t>
      </w:r>
      <w:r>
        <w:t xml:space="preserve"> </w:t>
      </w:r>
      <w:r>
        <w:t xml:space="preserve"> </w:t>
      </w:r>
      <w:r>
        <w:t xml:space="preserve">agro-infiltration to the leaves</w:t>
      </w:r>
      <w:r>
        <w:t xml:space="preserve"> </w:t>
      </w:r>
      <w:r>
        <w:t xml:space="preserve"> </w:t>
      </w:r>
      <w:r>
        <w:t xml:space="preserve">micro-stabs to the leaf vains</w:t>
      </w:r>
      <w:r>
        <w:t xml:space="preserve"> </w:t>
      </w:r>
      <w:r>
        <w:t xml:space="preserve"> </w:t>
      </w:r>
      <w:r>
        <w:t xml:space="preserve">injection to the stem cut</w:t>
      </w:r>
    </w:p>
    <w:bookmarkEnd w:id="62"/>
    <w:bookmarkStart w:id="67" w:name="drs-experiment"/>
    <w:p>
      <w:pPr>
        <w:pStyle w:val="Heading3"/>
      </w:pPr>
      <w:r>
        <w:rPr>
          <w:rStyle w:val="SectionNumber"/>
        </w:rPr>
        <w:t xml:space="preserve">4.1.3</w:t>
      </w:r>
      <w:r>
        <w:tab/>
      </w:r>
      <w:r>
        <w:t xml:space="preserve">DRs experiment</w:t>
      </w:r>
    </w:p>
    <w:p>
      <w:pPr>
        <w:pStyle w:val="FirstParagraph"/>
      </w:pPr>
      <w:r>
        <w:t xml:space="preserve">The second experiment is designed for the assessment of different DRs on the de-novo shoot induction influence.</w:t>
      </w:r>
      <w:r>
        <w:t xml:space="preserve"> </w:t>
      </w:r>
      <w:r>
        <w:t xml:space="preserve">Seeds are extracted from 4 varieties of apples that have been refrigerated for few months (Pink Lady, Granny Smith, Starking, Golden Delicious). The seeds are then grown in a germination tray (11X17 cells) for 1 month.</w:t>
      </w:r>
    </w:p>
    <w:p>
      <w:pPr>
        <w:pStyle w:val="BodyText"/>
      </w:pPr>
      <w:r>
        <w:t xml:space="preserve">All plant are infected as described in method C (Figure</w:t>
      </w:r>
      <w:r>
        <w:t xml:space="preserve"> </w:t>
      </w:r>
      <w:r>
        <w:t xml:space="preserve">). After injection, all stem cuts are covered with PARAFILM® (Sigma-Aldrich™) for 1 week. New shoots that grow from axillary buds are removed once a week.</w:t>
      </w:r>
    </w:p>
    <w:p>
      <w:pPr>
        <w:pStyle w:val="CaptionedFigure"/>
      </w:pPr>
      <w:r>
        <w:drawing>
          <wp:inline>
            <wp:extent cx="5334000" cy="2002916"/>
            <wp:effectExtent b="0" l="0" r="0" t="0"/>
            <wp:docPr descr="Injection of A.tumefaciens into a stem cut of 4 apple Varieties.   Injection into a stem cut  Starking  Pink Lady  Golden Delicious  Granny Smith" title="" id="1" name="Picture"/>
            <a:graphic>
              <a:graphicData uri="http://schemas.openxmlformats.org/drawingml/2006/picture">
                <pic:pic>
                  <pic:nvPicPr>
                    <pic:cNvPr descr="apple%20injection2.png" id="0" name="Picture"/>
                    <pic:cNvPicPr>
                      <a:picLocks noChangeArrowheads="1" noChangeAspect="1"/>
                    </pic:cNvPicPr>
                  </pic:nvPicPr>
                  <pic:blipFill>
                    <a:blip r:embed="rId63"/>
                    <a:stretch>
                      <a:fillRect/>
                    </a:stretch>
                  </pic:blipFill>
                  <pic:spPr bwMode="auto">
                    <a:xfrm>
                      <a:off x="0" y="0"/>
                      <a:ext cx="5334000" cy="2002916"/>
                    </a:xfrm>
                    <a:prstGeom prst="rect">
                      <a:avLst/>
                    </a:prstGeom>
                    <a:noFill/>
                    <a:ln w="9525">
                      <a:noFill/>
                      <a:headEnd/>
                      <a:tailEnd/>
                    </a:ln>
                  </pic:spPr>
                </pic:pic>
              </a:graphicData>
            </a:graphic>
          </wp:inline>
        </w:drawing>
      </w:r>
    </w:p>
    <w:p>
      <w:pPr>
        <w:pStyle w:val="ImageCaption"/>
      </w:pPr>
      <w:r>
        <w:t xml:space="preserve">Injection of A.tumefaciens into a stem cut of 4 apple Varieties.</w:t>
      </w:r>
      <w:r>
        <w:t xml:space="preserve"> </w:t>
      </w:r>
      <w:r>
        <w:t xml:space="preserve"> </w:t>
      </w:r>
      <w:r>
        <w:t xml:space="preserve"> </w:t>
      </w:r>
      <w:r>
        <w:t xml:space="preserve">Injection into a stem cut</w:t>
      </w:r>
      <w:r>
        <w:t xml:space="preserve"> </w:t>
      </w:r>
      <w:r>
        <w:t xml:space="preserve"> </w:t>
      </w:r>
      <w:r>
        <w:t xml:space="preserve">Starking</w:t>
      </w:r>
      <w:r>
        <w:t xml:space="preserve"> </w:t>
      </w:r>
      <w:r>
        <w:t xml:space="preserve"> </w:t>
      </w:r>
      <w:r>
        <w:t xml:space="preserve">Pink Lady</w:t>
      </w:r>
      <w:r>
        <w:t xml:space="preserve"> </w:t>
      </w:r>
      <w:r>
        <w:t xml:space="preserve"> </w:t>
      </w:r>
      <w:r>
        <w:t xml:space="preserve">Golden Delicious</w:t>
      </w:r>
      <w:r>
        <w:t xml:space="preserve"> </w:t>
      </w:r>
      <w:r>
        <w:t xml:space="preserve"> </w:t>
      </w:r>
      <w:r>
        <w:t xml:space="preserve">Granny Smith</w:t>
      </w:r>
    </w:p>
    <w:p>
      <w:pPr>
        <w:pStyle w:val="BodyText"/>
      </w:pPr>
      <w:r>
        <w:t xml:space="preserve">Every construct have 11 repetitions in each apple variety, 44 overall.</w:t>
      </w:r>
    </w:p>
    <w:p>
      <w:pPr>
        <w:pStyle w:val="BodyText"/>
      </w:pPr>
      <w:r>
        <w:t xml:space="preserve">Validation of cassette integration in the genome by DNA extraction from old leaf in the base of the plant and new leaf in the shoot using</w:t>
      </w:r>
      <w:r>
        <w:t xml:space="preserve"> </w:t>
      </w:r>
      <w:hyperlink r:id="rId64">
        <w:r>
          <w:rPr>
            <w:rStyle w:val="Hyperlink"/>
          </w:rPr>
          <w:t xml:space="preserve">CTAB protocol</w:t>
        </w:r>
      </w:hyperlink>
      <w:r>
        <w:t xml:space="preserve"> </w:t>
      </w:r>
      <w:r>
        <w:t xml:space="preserve">(Sigma-Aldrich™) and sequence amplification from the T-DNA cassette that is part of the Cas9 gene using specific primers in PCR reaction. The PCR products are analyzed using agarose gel electrophoresis, and photographed on a UV-light table</w:t>
      </w:r>
      <w:r>
        <w:t xml:space="preserve"> </w:t>
      </w:r>
      <w:hyperlink r:id="rId65">
        <w:r>
          <w:rPr>
            <w:rStyle w:val="Hyperlink"/>
          </w:rPr>
          <w:t xml:space="preserve">(</w:t>
        </w:r>
        <m:oMath>
          <m:r>
            <m:t>U</m:t>
          </m:r>
          <m:sSub>
            <m:e>
              <m:r>
                <m:t>V</m:t>
              </m:r>
            </m:e>
            <m:sub>
              <m:r>
                <m:t>D</m:t>
              </m:r>
              <m:r>
                <m:t>O</m:t>
              </m:r>
              <m:r>
                <m:t>C</m:t>
              </m:r>
            </m:sub>
          </m:sSub>
        </m:oMath>
        <w:r>
          <w:rPr>
            <w:rStyle w:val="Hyperlink"/>
          </w:rPr>
          <w:t xml:space="preserve"> </w:t>
        </w:r>
        <w:r>
          <w:rPr>
            <w:rStyle w:val="Hyperlink"/>
          </w:rPr>
          <w:t xml:space="preserve">HD2 by Uvitec Cambridge)</w:t>
        </w:r>
      </w:hyperlink>
      <w:r>
        <w:t xml:space="preserve"> </w:t>
      </w:r>
      <w:r>
        <w:t xml:space="preserve">(Table</w:t>
      </w:r>
      <w:r>
        <w:t xml:space="preserve"> </w:t>
      </w:r>
      <w:r>
        <w:t xml:space="preserve">).</w:t>
      </w:r>
    </w:p>
    <w:p>
      <w:pPr>
        <w:pStyle w:val="BodyText"/>
      </w:pPr>
      <w:r>
        <w:t xml:space="preserve">Validation of mutation in the targeted sequence is achieved by amplification using specific primers in PCR reaction and sanger sequencing as a service from</w:t>
      </w:r>
      <w:r>
        <w:t xml:space="preserve"> </w:t>
      </w:r>
      <w:hyperlink r:id="rId66">
        <w:r>
          <w:rPr>
            <w:rStyle w:val="Hyperlink"/>
          </w:rPr>
          <w:t xml:space="preserve">(Macrogen Europe B.V., Meibergdreef 57 1105 BA, Amsterdam, the Netherlands)</w:t>
        </w:r>
      </w:hyperlink>
      <w:r>
        <w:t xml:space="preserve"> </w:t>
      </w:r>
      <w:r>
        <w:t xml:space="preserve">(Table</w:t>
      </w:r>
      <w:r>
        <w:t xml:space="preserve"> </w:t>
      </w:r>
      <w:r>
        <w:t xml:space="preserve">).</w:t>
      </w:r>
    </w:p>
    <w:bookmarkEnd w:id="67"/>
    <w:bookmarkStart w:id="68" w:name="scale-up-experiment"/>
    <w:p>
      <w:pPr>
        <w:pStyle w:val="Heading3"/>
      </w:pPr>
      <w:r>
        <w:rPr>
          <w:rStyle w:val="SectionNumber"/>
        </w:rPr>
        <w:t xml:space="preserve">4.1.4</w:t>
      </w:r>
      <w:r>
        <w:tab/>
      </w:r>
      <w:r>
        <w:t xml:space="preserve">Scale-up experiment</w:t>
      </w:r>
    </w:p>
    <w:p>
      <w:pPr>
        <w:pStyle w:val="FirstParagraph"/>
      </w:pPr>
      <w:r>
        <w:t xml:space="preserve">The third experiment is designed for the assessment of de-novo shoot induction occurrences influenced by the two most promising DR combinations. Seeds are extracted from apples of the variety Pink-lady and Granny-smith, that have been refrigerated for few months. The seeds are then grown in a small pots (5X5 cm wide and 7 cm high) for 1 month. 800 seeds extracted of 2 varieties are infected with 2 most promising plasmids and 1 without DRs. Third of the plants are infected with the plasmid</w:t>
      </w:r>
      <w:r>
        <w:t xml:space="preserve"> </w:t>
      </w:r>
      <w:r>
        <w:rPr>
          <w:iCs/>
          <w:i/>
        </w:rPr>
        <w:t xml:space="preserve">WOX11</w:t>
      </w:r>
      <w:r>
        <w:t xml:space="preserve">-</w:t>
      </w:r>
      <w:r>
        <w:rPr>
          <w:iCs/>
          <w:i/>
        </w:rPr>
        <w:t xml:space="preserve">STM</w:t>
      </w:r>
      <w:r>
        <w:t xml:space="preserve">, third with</w:t>
      </w:r>
      <w:r>
        <w:t xml:space="preserve"> </w:t>
      </w:r>
      <w:r>
        <w:rPr>
          <w:iCs/>
          <w:i/>
        </w:rPr>
        <w:t xml:space="preserve">WUS2</w:t>
      </w:r>
      <w:r>
        <w:t xml:space="preserve">-</w:t>
      </w:r>
      <w:r>
        <w:rPr>
          <w:iCs/>
          <w:i/>
        </w:rPr>
        <w:t xml:space="preserve">STM</w:t>
      </w:r>
      <w:r>
        <w:t xml:space="preserve"> </w:t>
      </w:r>
      <w:r>
        <w:t xml:space="preserve">and third with Empty-Empty. The plants are then sealed with parafilm and aluminum foil. The aluminum foil are covering for 2 days, and the parafilm for additional week.</w:t>
      </w:r>
    </w:p>
    <w:bookmarkEnd w:id="68"/>
    <w:bookmarkStart w:id="69" w:name="high-humidity-experiment"/>
    <w:p>
      <w:pPr>
        <w:pStyle w:val="Heading3"/>
      </w:pPr>
      <w:r>
        <w:rPr>
          <w:rStyle w:val="SectionNumber"/>
        </w:rPr>
        <w:t xml:space="preserve">4.1.5</w:t>
      </w:r>
      <w:r>
        <w:tab/>
      </w:r>
      <w:r>
        <w:t xml:space="preserve">High humidity experiment</w:t>
      </w:r>
    </w:p>
    <w:p>
      <w:pPr>
        <w:pStyle w:val="FirstParagraph"/>
      </w:pPr>
      <w:r>
        <w:t xml:space="preserve">Another experiment is designed to isolate as much of the variability in soil experiment by growing the seedlings in a semi-sterile and close environment. Than the plants can be infected in the same manner only without covering the infected stem cut.</w:t>
      </w:r>
    </w:p>
    <w:bookmarkEnd w:id="69"/>
    <w:bookmarkStart w:id="70" w:name="poplar-infections"/>
    <w:p>
      <w:pPr>
        <w:pStyle w:val="Heading3"/>
      </w:pPr>
      <w:r>
        <w:rPr>
          <w:rStyle w:val="SectionNumber"/>
        </w:rPr>
        <w:t xml:space="preserve">4.1.6</w:t>
      </w:r>
      <w:r>
        <w:tab/>
      </w:r>
      <w:r>
        <w:t xml:space="preserve">Poplar infections</w:t>
      </w:r>
    </w:p>
    <w:p>
      <w:pPr>
        <w:pStyle w:val="FirstParagraph"/>
      </w:pPr>
      <w:r>
        <w:t xml:space="preserve">Similar experiments were performed on Poplar plants, the main difference was that the plant material was started from vegetative reproduction and not from seeds.</w:t>
      </w:r>
    </w:p>
    <w:p>
      <w:pPr>
        <w:pStyle w:val="BodyText"/>
      </w:pPr>
      <w:r>
        <w:t xml:space="preserve">Another experiment was the infection of poplar ex-plant on sterile growth medium without the use of hormones and antibiotics for selection.</w:t>
      </w:r>
    </w:p>
    <w:bookmarkEnd w:id="70"/>
    <w:bookmarkStart w:id="76" w:name="X358815798165894f31744bebe6b099814928966"/>
    <w:p>
      <w:pPr>
        <w:pStyle w:val="Heading3"/>
      </w:pPr>
      <w:r>
        <w:rPr>
          <w:rStyle w:val="SectionNumber"/>
        </w:rPr>
        <w:t xml:space="preserve">4.1.7</w:t>
      </w:r>
      <w:r>
        <w:tab/>
      </w:r>
      <w:r>
        <w:t xml:space="preserve">Identification of new trascription factors that are development regulators in poplar.</w:t>
      </w:r>
    </w:p>
    <w:p>
      <w:pPr>
        <w:pStyle w:val="FirstParagraph"/>
      </w:pPr>
      <w:r>
        <w:t xml:space="preserve">Tissue specific transcriptomes of the hybrid</w:t>
      </w:r>
      <w:r>
        <w:t xml:space="preserve"> </w:t>
      </w:r>
      <w:r>
        <w:rPr>
          <w:iCs/>
          <w:i/>
        </w:rPr>
        <w:t xml:space="preserve">Populus Alba-Tremula</w:t>
      </w:r>
      <w:r>
        <w:t xml:space="preserve"> </w:t>
      </w:r>
      <w:r>
        <w:t xml:space="preserve">(PopAT) were obtaind from</w:t>
      </w:r>
      <w:r>
        <w:t xml:space="preserve"> </w:t>
      </w:r>
      <w:hyperlink r:id="rId71">
        <w:r>
          <w:rPr>
            <w:rStyle w:val="Hyperlink"/>
          </w:rPr>
          <w:t xml:space="preserve">NCBI’s SRA site</w:t>
        </w:r>
      </w:hyperlink>
      <w:r>
        <w:t xml:space="preserve">. The tissues that were analyzed were shoot-tip, root-tip, bud, callus, xylem, leaf and bark. The transcripts were analyzed in order to identify new trascription factors that are most representative of specific tissue, and therefor suspected to have a strong role as a development regulators for that specific tissue in poplar. The transcripts were downloaded as an SRR files and was converted to FASTQ using the sratoolkit</w:t>
      </w:r>
      <w:r>
        <w:t xml:space="preserve"> </w:t>
      </w:r>
      <w:hyperlink r:id="rId72">
        <w:r>
          <w:rPr>
            <w:rStyle w:val="Hyperlink"/>
          </w:rPr>
          <w:t xml:space="preserve">(version 2.11.0)</w:t>
        </w:r>
      </w:hyperlink>
      <w:r>
        <w:t xml:space="preserve">. Than the reads were processed using the</w:t>
      </w:r>
      <w:r>
        <w:t xml:space="preserve"> </w:t>
      </w:r>
      <w:hyperlink r:id="rId73">
        <w:r>
          <w:rPr>
            <w:rStyle w:val="Hyperlink"/>
          </w:rPr>
          <w:t xml:space="preserve">FASTP tool</w:t>
        </w:r>
      </w:hyperlink>
      <w:r>
        <w:t xml:space="preserve">. After processing, the reads from each tissue were aligned to a reference trascriptome from</w:t>
      </w:r>
      <w:r>
        <w:t xml:space="preserve"> </w:t>
      </w:r>
      <w:r>
        <w:rPr>
          <w:iCs/>
          <w:i/>
        </w:rPr>
        <w:t xml:space="preserve">Populus trichocarpa</w:t>
      </w:r>
      <w:r>
        <w:t xml:space="preserve"> </w:t>
      </w:r>
      <w:r>
        <w:t xml:space="preserve">(PopTri) from</w:t>
      </w:r>
      <w:r>
        <w:t xml:space="preserve"> </w:t>
      </w:r>
      <w:hyperlink r:id="rId74">
        <w:r>
          <w:rPr>
            <w:rStyle w:val="Hyperlink"/>
          </w:rPr>
          <w:t xml:space="preserve">NCBI’s Datasets site</w:t>
        </w:r>
      </w:hyperlink>
      <w:r>
        <w:t xml:space="preserve"> </w:t>
      </w:r>
      <w:r>
        <w:t xml:space="preserve">using Burrows-Wheeler Aligner (BWA, version 0.7.1), and was outputted as a SAM file. The alignment files were analyzed further in order to extract the frequency of each transcript occurrences per tissue. The mathematical way we chose to calculate the a score for the representativeness of transcript to a specific tissue was to divide his frequency in the tissue in question against the frequency in each tissue and then look only on the genes that were at least 1 order of magnitude grater in the tissue in question in comparison to all other tissues. Then we sort by the sum of all ratios.</w:t>
      </w:r>
    </w:p>
    <w:p>
      <w:pPr>
        <w:pStyle w:val="BodyText"/>
      </w:pPr>
      <w:r>
        <w:t xml:space="preserve">All the analysis code is available on GitHub in</w:t>
      </w:r>
      <w:r>
        <w:t xml:space="preserve"> </w:t>
      </w:r>
      <w:hyperlink r:id="rId75">
        <w:r>
          <w:rPr>
            <w:rStyle w:val="Hyperlink"/>
          </w:rPr>
          <w:t xml:space="preserve">https://github.com/BenSiv/PopAT-expression-analysis</w:t>
        </w:r>
      </w:hyperlink>
      <w:r>
        <w:t xml:space="preserve">.</w:t>
      </w:r>
    </w:p>
    <w:bookmarkEnd w:id="76"/>
    <w:bookmarkStart w:id="77" w:name="Xd3e31350d4cdd472e59738deeec3b8692045989"/>
    <w:p>
      <w:pPr>
        <w:pStyle w:val="Heading3"/>
      </w:pPr>
      <w:r>
        <w:rPr>
          <w:rStyle w:val="SectionNumber"/>
        </w:rPr>
        <w:t xml:space="preserve">4.1.8</w:t>
      </w:r>
      <w:r>
        <w:tab/>
      </w:r>
      <w:r>
        <w:t xml:space="preserve">Validation of the RNA-seq analysis with real-time quantitive PCR (RT-qPCR)</w:t>
      </w:r>
    </w:p>
    <w:p>
      <w:pPr>
        <w:pStyle w:val="FirstParagraph"/>
      </w:pPr>
      <w:r>
        <w:t xml:space="preserve">For the validation of the RNA-seq analysis, RNA is exctarcted from the same tissues as the RNA-seq data (excluding callus). Then RT-qPCR is preformed on the complementary DNA (cDNA) with specific primers for the gene that was identified as the most shoot-tip specific by the RNA-seq analysis. Several normalizer genes were used for the quantification of the expression between the different tissues.</w:t>
      </w:r>
    </w:p>
    <w:bookmarkEnd w:id="77"/>
    <w:bookmarkEnd w:id="78"/>
    <w:bookmarkEnd w:id="79"/>
    <w:bookmarkStart w:id="96" w:name="results"/>
    <w:p>
      <w:pPr>
        <w:pStyle w:val="Heading1"/>
      </w:pPr>
      <w:r>
        <w:rPr>
          <w:rStyle w:val="SectionNumber"/>
        </w:rPr>
        <w:t xml:space="preserve">5</w:t>
      </w:r>
      <w:r>
        <w:tab/>
      </w:r>
      <w:r>
        <w:t xml:space="preserve">Results</w:t>
      </w:r>
    </w:p>
    <w:p>
      <w:pPr>
        <w:pStyle w:val="FirstParagraph"/>
      </w:pPr>
      <w:r>
        <w:t xml:space="preserve">In this work we are attempting to implement a novel gene editing method in planta on trees. We worked on two cultivars, PopAT from vegetative reproduction in tissue culture and apples from seeds.</w:t>
      </w:r>
      <w:r>
        <w:t xml:space="preserve"> </w:t>
      </w:r>
      <w:r>
        <w:rPr>
          <w:bCs/>
          <w:b/>
        </w:rPr>
        <w:t xml:space="preserve">summary of the whole research and experimants</w:t>
      </w:r>
    </w:p>
    <w:bookmarkStart w:id="95" w:name="Xf1df3cfa487d4a0c376a72d14c1d14e8c2f8002"/>
    <w:p>
      <w:pPr>
        <w:pStyle w:val="Heading2"/>
      </w:pPr>
      <w:r>
        <w:rPr>
          <w:rStyle w:val="SectionNumber"/>
        </w:rPr>
        <w:t xml:space="preserve">5.1</w:t>
      </w:r>
      <w:r>
        <w:tab/>
      </w:r>
      <w:r>
        <w:t xml:space="preserve">Implementing De-novo maristem induction and transformation.</w:t>
      </w:r>
    </w:p>
    <w:bookmarkStart w:id="80" w:name="X0753ee00e85f8fbe4aba815818d45b0dbb1ddaa"/>
    <w:p>
      <w:pPr>
        <w:pStyle w:val="Heading3"/>
      </w:pPr>
      <w:r>
        <w:rPr>
          <w:rStyle w:val="SectionNumber"/>
        </w:rPr>
        <w:t xml:space="preserve">5.1.1</w:t>
      </w:r>
      <w:r>
        <w:tab/>
      </w:r>
      <w:r>
        <w:t xml:space="preserve">Construction of plasmids containing DRs, Cas9 and sgRNAs</w:t>
      </w:r>
    </w:p>
    <w:p>
      <w:pPr>
        <w:pStyle w:val="FirstParagraph"/>
      </w:pPr>
      <w:r>
        <w:t xml:space="preserve">This work is exploratory in nature, as a results a variety of plasmids was required to insure a wide range of DR combinations on both cultivars with different reporter gene. As a consequence, as many as over 40 plasmids were planed and as mush as 21 final plasmids were used. The construction of the plasmid were planed with the golden gate assembly protocol in mind. This assembly method is based on the compatibility of a backbone and 4 modules. Each module can either include a functional insert or not at all. The combination of the different building blocks is what gives as the diverse array of plasmids. Some of the building blocks were available to purchase ready made for use, but some was needed to be constructed in house.</w:t>
      </w:r>
    </w:p>
    <w:bookmarkEnd w:id="80"/>
    <w:bookmarkStart w:id="83" w:name="infection-methods-experiment-1"/>
    <w:p>
      <w:pPr>
        <w:pStyle w:val="Heading3"/>
      </w:pPr>
      <w:r>
        <w:rPr>
          <w:rStyle w:val="SectionNumber"/>
        </w:rPr>
        <w:t xml:space="preserve">5.1.2</w:t>
      </w:r>
      <w:r>
        <w:tab/>
      </w:r>
      <w:r>
        <w:t xml:space="preserve">Infection methods experiment</w:t>
      </w:r>
    </w:p>
    <w:p>
      <w:pPr>
        <w:pStyle w:val="FirstParagraph"/>
      </w:pPr>
      <w:r>
        <w:t xml:space="preserve">Assessment of infection method for the infiltration and infection of apple plants by agrobacterium, is preformed with 3 methods (Figure</w:t>
      </w:r>
      <w:r>
        <w:t xml:space="preserve"> </w:t>
      </w:r>
      <w:r>
        <w:t xml:space="preserve">). In infection methods A and B, no phenotype was observed. In contrast, 2 newly formed shoots was observed from the stem cut site in plants that was infected with the constructs that included the genes</w:t>
      </w:r>
      <w:r>
        <w:t xml:space="preserve"> </w:t>
      </w:r>
      <w:r>
        <w:rPr>
          <w:iCs/>
          <w:i/>
        </w:rPr>
        <w:t xml:space="preserve">WOX11</w:t>
      </w:r>
      <w:r>
        <w:t xml:space="preserve">-</w:t>
      </w:r>
      <w:r>
        <w:rPr>
          <w:iCs/>
          <w:i/>
        </w:rPr>
        <w:t xml:space="preserve">STM</w:t>
      </w:r>
      <w:r>
        <w:t xml:space="preserve"> </w:t>
      </w:r>
      <w:r>
        <w:t xml:space="preserve">and</w:t>
      </w:r>
      <w:r>
        <w:t xml:space="preserve"> </w:t>
      </w:r>
      <w:r>
        <w:rPr>
          <w:iCs/>
          <w:i/>
        </w:rPr>
        <w:t xml:space="preserve">WUS2</w:t>
      </w:r>
      <w:r>
        <w:t xml:space="preserve">-</w:t>
      </w:r>
      <w:r>
        <w:rPr>
          <w:iCs/>
          <w:i/>
        </w:rPr>
        <w:t xml:space="preserve">STM</w:t>
      </w:r>
      <w:r>
        <w:t xml:space="preserve"> </w:t>
      </w:r>
      <w:r>
        <w:t xml:space="preserve">(Figure</w:t>
      </w:r>
      <w:r>
        <w:t xml:space="preserve"> </w:t>
      </w:r>
      <w:r>
        <w:t xml:space="preserve">). In 1 of the cases, Cotyledon like emerged from the cut before the shoot.</w:t>
      </w:r>
    </w:p>
    <w:p>
      <w:pPr>
        <w:pStyle w:val="CaptionedFigure"/>
      </w:pPr>
      <w:r>
        <w:drawing>
          <wp:inline>
            <wp:extent cx="5334000" cy="2340898"/>
            <wp:effectExtent b="0" l="0" r="0" t="0"/>
            <wp:docPr descr="Injection of A.tumefaciens into a stem cut of 4 apple Varieties.   Cotyledon like emerging from stem cut, two weeks post infection  Shoot grow, three weeks post infection" title="" id="1" name="Picture"/>
            <a:graphic>
              <a:graphicData uri="http://schemas.openxmlformats.org/drawingml/2006/picture">
                <pic:pic>
                  <pic:nvPicPr>
                    <pic:cNvPr descr="wox-stm%20transformant3.png" id="0" name="Picture"/>
                    <pic:cNvPicPr>
                      <a:picLocks noChangeArrowheads="1" noChangeAspect="1"/>
                    </pic:cNvPicPr>
                  </pic:nvPicPr>
                  <pic:blipFill>
                    <a:blip r:embed="rId81"/>
                    <a:stretch>
                      <a:fillRect/>
                    </a:stretch>
                  </pic:blipFill>
                  <pic:spPr bwMode="auto">
                    <a:xfrm>
                      <a:off x="0" y="0"/>
                      <a:ext cx="5334000" cy="2340898"/>
                    </a:xfrm>
                    <a:prstGeom prst="rect">
                      <a:avLst/>
                    </a:prstGeom>
                    <a:noFill/>
                    <a:ln w="9525">
                      <a:noFill/>
                      <a:headEnd/>
                      <a:tailEnd/>
                    </a:ln>
                  </pic:spPr>
                </pic:pic>
              </a:graphicData>
            </a:graphic>
          </wp:inline>
        </w:drawing>
      </w:r>
    </w:p>
    <w:p>
      <w:pPr>
        <w:pStyle w:val="ImageCaption"/>
      </w:pPr>
      <w:r>
        <w:t xml:space="preserve">Injection of A.tumefaciens into a stem cut of 4 apple Varieties.</w:t>
      </w:r>
      <w:r>
        <w:t xml:space="preserve"> </w:t>
      </w:r>
      <w:r>
        <w:t xml:space="preserve"> </w:t>
      </w:r>
      <w:r>
        <w:t xml:space="preserve"> </w:t>
      </w:r>
      <w:r>
        <w:t xml:space="preserve">Cotyledon like emerging from stem cut, two weeks post infection</w:t>
      </w:r>
      <w:r>
        <w:t xml:space="preserve"> </w:t>
      </w:r>
      <w:r>
        <w:t xml:space="preserve"> </w:t>
      </w:r>
      <w:r>
        <w:t xml:space="preserve">Shoot grow, three weeks post infection</w:t>
      </w:r>
    </w:p>
    <w:p>
      <w:pPr>
        <w:pStyle w:val="BodyText"/>
      </w:pPr>
      <w:r>
        <w:t xml:space="preserve">DNA was extracted from old leaf in the base of the plant and new leaf in the shoot. A sequence from the T-DNA cassette that is part of the Cas9 gene was amplified with PCR reaction for the validation of T-DNA integration in the genome. The PCR products was loaded in agarose gel and run in electrophoresis bath. After that the gel was photographed on a UV-light table. For posotive control the transformation plasmid (pTRANS WOX11-STM) was used and for negative control the PCR stock without DNA (Cas9 stock) was used. A band was observed in the new leaf sample in the expected length, as seen in the positive control sample. To validate that the DNA extraction was successful, a sequence from the actin gene was amplified using PCR reaction and was anelyzed too by agarose gel electrophoresis. For negative control the PCR stock without DNA (Actin stock) was used (Figure</w:t>
      </w:r>
      <w:r>
        <w:t xml:space="preserve"> </w:t>
      </w:r>
      <w:r>
        <w:t xml:space="preserve">).</w:t>
      </w:r>
    </w:p>
    <w:p>
      <w:pPr>
        <w:pStyle w:val="CaptionedFigure"/>
      </w:pPr>
      <w:r>
        <w:drawing>
          <wp:inline>
            <wp:extent cx="5334000" cy="2247813"/>
            <wp:effectExtent b="0" l="0" r="0" t="0"/>
            <wp:docPr descr="Cas9 and actin validation using PCR. The products analysis by agarose gel electrophoresis.   T-DNA cassette validation with Cas9 primers  DNA validation with actin primers" title="" id="1" name="Picture"/>
            <a:graphic>
              <a:graphicData uri="http://schemas.openxmlformats.org/drawingml/2006/picture">
                <pic:pic>
                  <pic:nvPicPr>
                    <pic:cNvPr descr="WOX-STM%20transformant%20Cas9+Actin3.jpg" id="0" name="Picture"/>
                    <pic:cNvPicPr>
                      <a:picLocks noChangeArrowheads="1" noChangeAspect="1"/>
                    </pic:cNvPicPr>
                  </pic:nvPicPr>
                  <pic:blipFill>
                    <a:blip r:embed="rId82"/>
                    <a:stretch>
                      <a:fillRect/>
                    </a:stretch>
                  </pic:blipFill>
                  <pic:spPr bwMode="auto">
                    <a:xfrm>
                      <a:off x="0" y="0"/>
                      <a:ext cx="5334000" cy="2247813"/>
                    </a:xfrm>
                    <a:prstGeom prst="rect">
                      <a:avLst/>
                    </a:prstGeom>
                    <a:noFill/>
                    <a:ln w="9525">
                      <a:noFill/>
                      <a:headEnd/>
                      <a:tailEnd/>
                    </a:ln>
                  </pic:spPr>
                </pic:pic>
              </a:graphicData>
            </a:graphic>
          </wp:inline>
        </w:drawing>
      </w:r>
    </w:p>
    <w:p>
      <w:pPr>
        <w:pStyle w:val="ImageCaption"/>
      </w:pPr>
      <w:r>
        <w:t xml:space="preserve">Cas9 and actin validation using PCR. The products analysis by agarose gel electrophoresis.</w:t>
      </w:r>
      <w:r>
        <w:t xml:space="preserve"> </w:t>
      </w:r>
      <w:r>
        <w:t xml:space="preserve"> </w:t>
      </w:r>
      <w:r>
        <w:t xml:space="preserve"> </w:t>
      </w:r>
      <w:r>
        <w:t xml:space="preserve">T-DNA cassette validation with Cas9 primers</w:t>
      </w:r>
      <w:r>
        <w:t xml:space="preserve"> </w:t>
      </w:r>
      <w:r>
        <w:t xml:space="preserve"> </w:t>
      </w:r>
      <w:r>
        <w:t xml:space="preserve">DNA validation with actin primers</w:t>
      </w:r>
    </w:p>
    <w:p>
      <w:pPr>
        <w:pStyle w:val="BodyText"/>
      </w:pPr>
      <w:r>
        <w:t xml:space="preserve">Both alleles of the S-RNase gene (S2 and S3) was amplified and sent for sequencing for mutation analysis. No mutation was observed.</w:t>
      </w:r>
    </w:p>
    <w:bookmarkEnd w:id="83"/>
    <w:bookmarkStart w:id="85" w:name="drs-experiment-1"/>
    <w:p>
      <w:pPr>
        <w:pStyle w:val="Heading3"/>
      </w:pPr>
      <w:r>
        <w:rPr>
          <w:rStyle w:val="SectionNumber"/>
        </w:rPr>
        <w:t xml:space="preserve">5.1.3</w:t>
      </w:r>
      <w:r>
        <w:tab/>
      </w:r>
      <w:r>
        <w:t xml:space="preserve">DRs experiment</w:t>
      </w:r>
    </w:p>
    <w:p>
      <w:pPr>
        <w:pStyle w:val="FirstParagraph"/>
      </w:pPr>
      <w:r>
        <w:t xml:space="preserve">Assessment of DRs for shoot induction in apple plants is preformed with all constructs (Table</w:t>
      </w:r>
      <w:r>
        <w:t xml:space="preserve"> </w:t>
      </w:r>
      <w:r>
        <w:t xml:space="preserve">), on 4 apple varieties (Figure</w:t>
      </w:r>
      <w:r>
        <w:t xml:space="preserve"> </w:t>
      </w:r>
      <w:r>
        <w:t xml:space="preserve">) and with 11 repetitions per construct. Out of 352 plants infected, 4 de-novo shoot regeneration was observed, 3 of them are Pink-lady variety and the 4’th is Starking. Shoot regeneration was observed after 1 week only. (Figure</w:t>
      </w:r>
      <w:r>
        <w:t xml:space="preserve"> </w:t>
      </w:r>
      <w:r>
        <w:t xml:space="preserve">).</w:t>
      </w:r>
    </w:p>
    <w:p>
      <w:pPr>
        <w:pStyle w:val="CaptionedFigure"/>
      </w:pPr>
      <w:r>
        <w:drawing>
          <wp:inline>
            <wp:extent cx="5334000" cy="2577457"/>
            <wp:effectExtent b="0" l="0" r="0" t="0"/>
            <wp:docPr descr="Pink lady shoot regeneration.   and  Grafting and cotyledone like appearance" title="" id="1" name="Picture"/>
            <a:graphic>
              <a:graphicData uri="http://schemas.openxmlformats.org/drawingml/2006/picture">
                <pic:pic>
                  <pic:nvPicPr>
                    <pic:cNvPr descr="Transformant2%20results.png" id="0" name="Picture"/>
                    <pic:cNvPicPr>
                      <a:picLocks noChangeArrowheads="1" noChangeAspect="1"/>
                    </pic:cNvPicPr>
                  </pic:nvPicPr>
                  <pic:blipFill>
                    <a:blip r:embed="rId84"/>
                    <a:stretch>
                      <a:fillRect/>
                    </a:stretch>
                  </pic:blipFill>
                  <pic:spPr bwMode="auto">
                    <a:xfrm>
                      <a:off x="0" y="0"/>
                      <a:ext cx="5334000" cy="2577457"/>
                    </a:xfrm>
                    <a:prstGeom prst="rect">
                      <a:avLst/>
                    </a:prstGeom>
                    <a:noFill/>
                    <a:ln w="9525">
                      <a:noFill/>
                      <a:headEnd/>
                      <a:tailEnd/>
                    </a:ln>
                  </pic:spPr>
                </pic:pic>
              </a:graphicData>
            </a:graphic>
          </wp:inline>
        </w:drawing>
      </w:r>
    </w:p>
    <w:p>
      <w:pPr>
        <w:pStyle w:val="ImageCaption"/>
      </w:pPr>
      <w:r>
        <w:t xml:space="preserve">Pink lady shoot regeneration.</w:t>
      </w:r>
      <w:r>
        <w:t xml:space="preserve"> </w:t>
      </w:r>
      <w:r>
        <w:t xml:space="preserve"> </w:t>
      </w:r>
      <w:r>
        <w:t xml:space="preserve"> </w:t>
      </w:r>
      <w:r>
        <w:t xml:space="preserve">and</w:t>
      </w:r>
      <w:r>
        <w:t xml:space="preserve"> </w:t>
      </w:r>
      <w:r>
        <w:t xml:space="preserve"> </w:t>
      </w:r>
      <w:r>
        <w:t xml:space="preserve">Grafting and cotyledone like appearance</w:t>
      </w:r>
    </w:p>
    <w:bookmarkEnd w:id="85"/>
    <w:bookmarkStart w:id="86" w:name="scale-up-experiment-1"/>
    <w:p>
      <w:pPr>
        <w:pStyle w:val="Heading3"/>
      </w:pPr>
      <w:r>
        <w:rPr>
          <w:rStyle w:val="SectionNumber"/>
        </w:rPr>
        <w:t xml:space="preserve">5.1.4</w:t>
      </w:r>
      <w:r>
        <w:tab/>
      </w:r>
      <w:r>
        <w:t xml:space="preserve">Scale-up experiment</w:t>
      </w:r>
    </w:p>
    <w:p>
      <w:pPr>
        <w:pStyle w:val="FirstParagraph"/>
      </w:pPr>
      <w:r>
        <w:t xml:space="preserve">At the scale up experiment about 800 seeds were planted, and as much as 400 plants were infected with 2 of the most promising plasmids and 1 control plasmid. As a result of disease infection that was spread on the plants (Powdery mildew and Aphids), no phenotype as result of the treatment was observed.</w:t>
      </w:r>
    </w:p>
    <w:bookmarkEnd w:id="86"/>
    <w:bookmarkStart w:id="87" w:name="high-humidity-experiment-1"/>
    <w:p>
      <w:pPr>
        <w:pStyle w:val="Heading3"/>
      </w:pPr>
      <w:r>
        <w:rPr>
          <w:rStyle w:val="SectionNumber"/>
        </w:rPr>
        <w:t xml:space="preserve">5.1.5</w:t>
      </w:r>
      <w:r>
        <w:tab/>
      </w:r>
      <w:r>
        <w:t xml:space="preserve">High humidity experiment</w:t>
      </w:r>
    </w:p>
    <w:p>
      <w:pPr>
        <w:pStyle w:val="FirstParagraph"/>
      </w:pPr>
      <w:r>
        <w:t xml:space="preserve">At the high humidity experiment about 500 seeds were planted in a 300 ml containers on sterile soil. The objective is to exclode any variables from the enviroment and maintain moisture for the cells that exposed to air in the proccess. Unfortunately, no shoot regeneration was observed.</w:t>
      </w:r>
    </w:p>
    <w:bookmarkEnd w:id="87"/>
    <w:bookmarkStart w:id="88" w:name="poplar-infections-1"/>
    <w:p>
      <w:pPr>
        <w:pStyle w:val="Heading3"/>
      </w:pPr>
      <w:r>
        <w:rPr>
          <w:rStyle w:val="SectionNumber"/>
        </w:rPr>
        <w:t xml:space="preserve">5.1.6</w:t>
      </w:r>
      <w:r>
        <w:tab/>
      </w:r>
      <w:r>
        <w:t xml:space="preserve">Poplar infections</w:t>
      </w:r>
    </w:p>
    <w:p>
      <w:pPr>
        <w:pStyle w:val="FirstParagraph"/>
      </w:pPr>
      <w:r>
        <w:t xml:space="preserve">No phenotype as result of the treatment was observed.</w:t>
      </w:r>
    </w:p>
    <w:bookmarkEnd w:id="88"/>
    <w:bookmarkStart w:id="90" w:name="X8b709f56d8bf350199ec817a69fbda3be375618"/>
    <w:p>
      <w:pPr>
        <w:pStyle w:val="Heading3"/>
      </w:pPr>
      <w:r>
        <w:rPr>
          <w:rStyle w:val="SectionNumber"/>
        </w:rPr>
        <w:t xml:space="preserve">5.1.7</w:t>
      </w:r>
      <w:r>
        <w:tab/>
      </w:r>
      <w:r>
        <w:t xml:space="preserve">Identification of new trascription factors that are development regulators in poplar</w:t>
      </w:r>
    </w:p>
    <w:p>
      <w:pPr>
        <w:pStyle w:val="FirstParagraph"/>
      </w:pPr>
      <w:r>
        <w:t xml:space="preserve">After several experiments in apples and poplar plants with the most known DRs, the results were mixed and insufficient for further analysis. We decided to try and identify new transcriptional factors that are more representative of the tissue in question. Therefore, tissue specific transcriptome data was analyzed including shoot-tip transcriptome. We found that from the WUSHCEL-related family, WOX1 was by far the most expressed in shoot-tip in comparison to other tissues (Figure</w:t>
      </w:r>
      <w:r>
        <w:t xml:space="preserve"> </w:t>
      </w:r>
      <w:r>
        <w:t xml:space="preserve">).</w:t>
      </w:r>
      <w:r>
        <w:t xml:space="preserve"> </w:t>
      </w:r>
      <w:r>
        <w:drawing>
          <wp:inline>
            <wp:extent cx="4620126" cy="3696101"/>
            <wp:effectExtent b="0" l="0" r="0" t="0"/>
            <wp:docPr descr="WOX1 expression by the RNA-seq analysis" title="" id="1" name="Picture"/>
            <a:graphic>
              <a:graphicData uri="http://schemas.openxmlformats.org/drawingml/2006/picture">
                <pic:pic>
                  <pic:nvPicPr>
                    <pic:cNvPr descr="Developing-noval-methods-for-gene-editing-in-trees_files/figure-docx/RNA-seq-1.png" id="0" name="Picture"/>
                    <pic:cNvPicPr>
                      <a:picLocks noChangeArrowheads="1" noChangeAspect="1"/>
                    </pic:cNvPicPr>
                  </pic:nvPicPr>
                  <pic:blipFill>
                    <a:blip r:embed="rId89"/>
                    <a:stretch>
                      <a:fillRect/>
                    </a:stretch>
                  </pic:blipFill>
                  <pic:spPr bwMode="auto">
                    <a:xfrm>
                      <a:off x="0" y="0"/>
                      <a:ext cx="4620126" cy="3696101"/>
                    </a:xfrm>
                    <a:prstGeom prst="rect">
                      <a:avLst/>
                    </a:prstGeom>
                    <a:noFill/>
                    <a:ln w="9525">
                      <a:noFill/>
                      <a:headEnd/>
                      <a:tailEnd/>
                    </a:ln>
                  </pic:spPr>
                </pic:pic>
              </a:graphicData>
            </a:graphic>
          </wp:inline>
        </w:drawing>
      </w:r>
    </w:p>
    <w:bookmarkEnd w:id="90"/>
    <w:bookmarkStart w:id="92" w:name="X06c7ad94b5ec1057f24080369eb354fbf4d96c6"/>
    <w:p>
      <w:pPr>
        <w:pStyle w:val="Heading3"/>
      </w:pPr>
      <w:r>
        <w:rPr>
          <w:rStyle w:val="SectionNumber"/>
        </w:rPr>
        <w:t xml:space="preserve">5.1.8</w:t>
      </w:r>
      <w:r>
        <w:tab/>
      </w:r>
      <w:r>
        <w:t xml:space="preserve">Validation of the RNA-seq analysis with real-time quantitive PCR (RT-qPCR)</w:t>
      </w:r>
    </w:p>
    <w:p>
      <w:pPr>
        <w:pStyle w:val="FirstParagraph"/>
      </w:pPr>
      <w:r>
        <w:t xml:space="preserve">In most RT-qPCR expiraments, the samples are from the same tissue and the only difference is a certine treatment (water salinity, gene expression etc.). Therefor it is easy to choose an house-kipping gene to act as a normalizer. In our case study, the samples are different tissues, which differ in many biological pathways. At first, we tried to use the most recognized house-keeping gene, Actin-7. The results showed too much varience in the expression, so we went and looked in the RNA-seq result for the most unchanged genes across all tissues and chose 2 genes, Serine/threonine-protein phosphatase PP2A-4 catalytic subunit and E3 ubiquitin ligase.</w:t>
      </w:r>
    </w:p>
    <w:p>
      <w:pPr>
        <w:pStyle w:val="BodyText"/>
      </w:pPr>
      <w:r>
        <w:t xml:space="preserve">For further comparison, we anelyzed the RT-qPCR results dedpite the normalizer inconsistatncy (Figures</w:t>
      </w:r>
      <w:r>
        <w:t xml:space="preserve"> </w:t>
      </w:r>
      <w:r>
        <w:t xml:space="preserve">). The order, in which the tissues apeared when sorted by the</w:t>
      </w:r>
      <w:r>
        <w:t xml:space="preserve"> </w:t>
      </w:r>
      <w:r>
        <w:rPr>
          <w:iCs/>
          <w:i/>
        </w:rPr>
        <w:t xml:space="preserve">WOX1</w:t>
      </w:r>
      <w:r>
        <w:t xml:space="preserve"> </w:t>
      </w:r>
      <w:r>
        <w:t xml:space="preserve">gene expression remains consistent with the normalizers PP2A-4 and E3 against the RNA-seq analysis, the only tissue that moved was shoot tip.</w:t>
      </w:r>
    </w:p>
    <w:p>
      <w:pPr>
        <w:pStyle w:val="CaptionedFigure"/>
      </w:pPr>
      <w:r>
        <w:drawing>
          <wp:inline>
            <wp:extent cx="4620126" cy="3696101"/>
            <wp:effectExtent b="0" l="0" r="0" t="0"/>
            <wp:docPr descr="WOX1 expression by the RT-qPCR with different normalizers. CV referse to the coefficient of variation and it represent a score for the amount in which the normalizer expressed consistently between the different tissues, measured as the standard deviation divided by the average expression. As the CV get smaller, the expression is more uniform." title="" id="1" name="Picture"/>
            <a:graphic>
              <a:graphicData uri="http://schemas.openxmlformats.org/drawingml/2006/picture">
                <pic:pic>
                  <pic:nvPicPr>
                    <pic:cNvPr descr="Developing-noval-methods-for-gene-editing-in-trees_files/figure-docx/qPCR-1.png" id="0" name="Picture"/>
                    <pic:cNvPicPr>
                      <a:picLocks noChangeArrowheads="1" noChangeAspect="1"/>
                    </pic:cNvPicPr>
                  </pic:nvPicPr>
                  <pic:blipFill>
                    <a:blip r:embed="rId91"/>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WOX1 expression by the RT-qPCR with different normalizers. CV referse to the coefficient of variation and it represent a score for the amount in which the normalizer expressed consistently between the different tissues, measured as the standard deviation divided by the average expression. As the CV get smaller, the expression is more uniform.</w:t>
      </w:r>
    </w:p>
    <w:bookmarkEnd w:id="92"/>
    <w:bookmarkStart w:id="94" w:name="wox1-gene-isolation-from-popat-shoot-tip"/>
    <w:p>
      <w:pPr>
        <w:pStyle w:val="Heading3"/>
      </w:pPr>
      <w:r>
        <w:rPr>
          <w:rStyle w:val="SectionNumber"/>
        </w:rPr>
        <w:t xml:space="preserve">5.1.9</w:t>
      </w:r>
      <w:r>
        <w:tab/>
      </w:r>
      <w:r>
        <w:rPr>
          <w:iCs/>
          <w:i/>
        </w:rPr>
        <w:t xml:space="preserve">WOX1</w:t>
      </w:r>
      <w:r>
        <w:t xml:space="preserve"> </w:t>
      </w:r>
      <w:r>
        <w:t xml:space="preserve">gene isolation from PopAT shoot tip</w:t>
      </w:r>
    </w:p>
    <w:p>
      <w:pPr>
        <w:pStyle w:val="FirstParagraph"/>
      </w:pPr>
      <w:r>
        <w:t xml:space="preserve">For the assembly of plasmids with the gene</w:t>
      </w:r>
      <w:r>
        <w:t xml:space="preserve"> </w:t>
      </w:r>
      <w:r>
        <w:rPr>
          <w:iCs/>
          <w:i/>
        </w:rPr>
        <w:t xml:space="preserve">WOX1</w:t>
      </w:r>
      <w:r>
        <w:t xml:space="preserve"> </w:t>
      </w:r>
      <w:r>
        <w:t xml:space="preserve">as a DR for shoot regeneration, DNA was extracted and purified from PopAT’s shoot tip tissue. Then the gene was amplified using PCR reaction. The PCR product was analyzed using agarose gel electrophoresis and was found to be about 300 bp longer than expected, although it does not know to include introns. Consequently, we decide to try and isolate the gene from cDNA to see if the length would be as expected and we can deduce that in PopAT there is the presence of intron, or parhapse somthing else went wrong and the sequence we amplified wasent the target. After extraction and purification of RNA from the tissue, cDNA was prepared, and</w:t>
      </w:r>
      <w:r>
        <w:t xml:space="preserve"> </w:t>
      </w:r>
      <w:r>
        <w:rPr>
          <w:iCs/>
          <w:i/>
        </w:rPr>
        <w:t xml:space="preserve">WOX1</w:t>
      </w:r>
      <w:r>
        <w:t xml:space="preserve"> </w:t>
      </w:r>
      <w:r>
        <w:t xml:space="preserve">was amplified. The band observed in the agarose gel was at the expected length, so it could be cleaned and be used in further assembly.</w:t>
      </w:r>
    </w:p>
    <w:p>
      <w:pPr>
        <w:pStyle w:val="CaptionedFigure"/>
      </w:pPr>
      <w:r>
        <w:drawing>
          <wp:inline>
            <wp:extent cx="5334000" cy="3168754"/>
            <wp:effectExtent b="0" l="0" r="0" t="0"/>
            <wp:docPr descr="Isolation of the WOX1 gene from PopAT shoot tip" title="" id="1" name="Picture"/>
            <a:graphic>
              <a:graphicData uri="http://schemas.openxmlformats.org/drawingml/2006/picture">
                <pic:pic>
                  <pic:nvPicPr>
                    <pic:cNvPr descr="WOX1_isolation.png" id="0" name="Picture"/>
                    <pic:cNvPicPr>
                      <a:picLocks noChangeArrowheads="1" noChangeAspect="1"/>
                    </pic:cNvPicPr>
                  </pic:nvPicPr>
                  <pic:blipFill>
                    <a:blip r:embed="rId93"/>
                    <a:stretch>
                      <a:fillRect/>
                    </a:stretch>
                  </pic:blipFill>
                  <pic:spPr bwMode="auto">
                    <a:xfrm>
                      <a:off x="0" y="0"/>
                      <a:ext cx="5334000" cy="3168754"/>
                    </a:xfrm>
                    <a:prstGeom prst="rect">
                      <a:avLst/>
                    </a:prstGeom>
                    <a:noFill/>
                    <a:ln w="9525">
                      <a:noFill/>
                      <a:headEnd/>
                      <a:tailEnd/>
                    </a:ln>
                  </pic:spPr>
                </pic:pic>
              </a:graphicData>
            </a:graphic>
          </wp:inline>
        </w:drawing>
      </w:r>
    </w:p>
    <w:p>
      <w:pPr>
        <w:pStyle w:val="ImageCaption"/>
      </w:pPr>
      <w:r>
        <w:t xml:space="preserve">Isolation of the WOX1 gene from PopAT shoot tip</w:t>
      </w:r>
    </w:p>
    <w:bookmarkEnd w:id="94"/>
    <w:bookmarkEnd w:id="95"/>
    <w:bookmarkEnd w:id="96"/>
    <w:bookmarkStart w:id="99" w:name="conclusions"/>
    <w:p>
      <w:pPr>
        <w:pStyle w:val="Heading1"/>
      </w:pPr>
      <w:r>
        <w:rPr>
          <w:rStyle w:val="SectionNumber"/>
        </w:rPr>
        <w:t xml:space="preserve">6</w:t>
      </w:r>
      <w:r>
        <w:tab/>
      </w:r>
      <w:r>
        <w:t xml:space="preserve">Conclusions</w:t>
      </w:r>
    </w:p>
    <w:p>
      <w:pPr>
        <w:pStyle w:val="FirstParagraph"/>
      </w:pPr>
      <w:r>
        <w:t xml:space="preserve">Food security is one of the major challenges facing humanity in the 21st century</w:t>
      </w:r>
      <w:r>
        <w:t xml:space="preserve"> </w:t>
      </w:r>
      <w:r>
        <w:t xml:space="preserve">(FAO 2011)</w:t>
      </w:r>
      <w:r>
        <w:t xml:space="preserve">, especially in light of forecasts regarding climate change and population growth. Cereals are staple crops and account for as much as 44% of all agriculture land use for food production</w:t>
      </w:r>
      <w:r>
        <w:t xml:space="preserve"> </w:t>
      </w:r>
      <w:hyperlink r:id="rId97">
        <w:r>
          <w:rPr>
            <w:rStyle w:val="Hyperlink"/>
          </w:rPr>
          <w:t xml:space="preserve">(AREA USED FOR PRODUCTION (FAO 2017))</w:t>
        </w:r>
      </w:hyperlink>
      <w:r>
        <w:t xml:space="preserve">. Cereal cultivars are annual plant and as such are more prone to be effected by change in irrigation and overall climate patterns</w:t>
      </w:r>
      <w:r>
        <w:t xml:space="preserve">(Shiferaw et al. 2014)</w:t>
      </w:r>
      <w:r>
        <w:t xml:space="preserve">. In contrast, Trees, especially fruit trees in the context of food production, are more resilient to changes in the environment as a result of their strong and deep roots. Consequently trees serves a vital role as a source for food security. To date, fruit trees only serves a small part of the overall food production. For trees to reach their full potential as staple crop in many parts of the world, crop improvement methods need to be more robust. Genetic engineering and especially genome editing methods with the use of CRISPR/Cas9 technology have that potential. For those methods to be adopted, they need to fulfill cretin criteria such as, speed, ease of execution, cheap and minimal preliminary knowledge required. The most common used method for crop improvement by genetic engineering is agrobacterium-mediated transformation that is preformed on ex-plant in sterile environment on tissue culture medium. Many researchers combined that technology with CRISPR/Cas9 by integrating the Cas9 DNA sequence as part of the agrobacterium T-DNA cassette. This method takes several month at least to get from soil-grown wild type plant to soil-grown transformant one, it takes very skilled personal to preform and require preliminary knowledge in specific growth medium per cultivar.</w:t>
      </w:r>
    </w:p>
    <w:p>
      <w:pPr>
        <w:pStyle w:val="BodyText"/>
      </w:pPr>
      <w:r>
        <w:t xml:space="preserve">In planta transformation is much desirable goal. In pursuing that objective, Zhang et al.</w:t>
      </w:r>
      <w:r>
        <w:t xml:space="preserve">(Zhang et al. 2017)</w:t>
      </w:r>
      <w:r>
        <w:t xml:space="preserve"> </w:t>
      </w:r>
      <w:r>
        <w:t xml:space="preserve">developed a new method for plant transformation, that mimicks the work in tissue culture, but in planta. In that method, rather than grow the whole plant in a sterile envoriment on an agar medium, the researchers created micro enviroment on an inner tissue section of the plant. It was done by cutting a stam of a young pommelo plant, and enclosing it using a tube and parafilm. The tube is than filled with a liquid growth medium containing antibiotics and hormones (Figure</w:t>
      </w:r>
      <w:r>
        <w:t xml:space="preserve"> </w:t>
      </w:r>
      <w:r>
        <w:t xml:space="preserve">). Few seccess was shown with that method, it holds several advantages over tissue colture methods such as needs less time and labor cost, requires less equipments and less strict experiment conditions and less skilled personal. but as the design suggests, several of the drawbacks in tissue colture methods are present here too, like the need for hormones and antibiotiotics.</w:t>
      </w:r>
    </w:p>
    <w:p>
      <w:pPr>
        <w:pStyle w:val="BodyText"/>
      </w:pPr>
      <w:r>
        <w:t xml:space="preserve">Maher et al.</w:t>
      </w:r>
      <w:r>
        <w:t xml:space="preserve">(Maher et al. 2020)</w:t>
      </w:r>
      <w:r>
        <w:t xml:space="preserve"> </w:t>
      </w:r>
      <w:r>
        <w:t xml:space="preserve">developed novel method for plant gene editing by introducing DRs into the cell as well as CRISPR/Cas9 and sgRNA, with the use of agrobacterium on soil-grown plants. In that way, the phenotype formed by the transformation is de-novo shoot induction as well as knockout in the gene of interest. This method have the potential to remove the need entirely of tissue culture and enable gene editing in planta. Furthermore, shoot regeneration is a direct result of the transformation, therefor no induction with hormones or selection with antibiotics is required in contrast to the work of Zhang et al.</w:t>
      </w:r>
      <w:r>
        <w:t xml:space="preserve">(Zhang et al. 2017)</w:t>
      </w:r>
      <w:r>
        <w:t xml:space="preserve">. In their work, to show de-novo shoot induction, the vector was introduced to the location of axillary bud right after it was surgically removed (Figure</w:t>
      </w:r>
      <w:r>
        <w:t xml:space="preserve"> </w:t>
      </w:r>
      <w:r>
        <w:t xml:space="preserve">). New shoot was formed when the right combination of DRs was introduced, but in most cases it was deformed as a result of the unregulated over expression of the DRs.</w:t>
      </w:r>
    </w:p>
    <w:p>
      <w:pPr>
        <w:pStyle w:val="BodyText"/>
      </w:pPr>
      <w:r>
        <w:t xml:space="preserve">In this work we attempted to implement this novel transformation method, on apple and poplar plants as the first trees used for this method. The potential of this method is sound and in trees it is even more striking when compared with traditional methods. Poplar tree was chosen as a model tree and apple tree was chosen because of its commercially importance. Also, a major set back in apple plantation is its self-incompatibility, which means that new plantations need to be vegetative reproduced mainly by cuttings and grafts. In apples S-RNase is one of the key mechanisms that regulates self-incompatibility and as such can serve a suited target for gene editing</w:t>
      </w:r>
      <w:r>
        <w:t xml:space="preserve"> </w:t>
      </w:r>
      <w:r>
        <w:t xml:space="preserve">(Del Duca et al. 2019)</w:t>
      </w:r>
      <w:r>
        <w:t xml:space="preserve">. Therefor, the target gene of interest in this work is the apple’s S-RNase, if knocked out will have notable commercially importance, as the first self-compatible apple variety. In poplar the target gene was PDS because it is a well established reporter gene for the verification of gene knockout.</w:t>
      </w:r>
    </w:p>
    <w:p>
      <w:pPr>
        <w:pStyle w:val="BodyText"/>
      </w:pPr>
      <w:r>
        <w:t xml:space="preserve">In our work, we tried three different introduction of the agrobacterium to the plant, pressure injection to the leaf surface, injection to leaf vains and injection to stem cut. Similar to the method described by Zhang et al., our result was in favor of the latter (Figure</w:t>
      </w:r>
      <w:r>
        <w:t xml:space="preserve"> </w:t>
      </w:r>
      <w:r>
        <w:t xml:space="preserve">). In comparison to Maher et al. that describe the work on</w:t>
      </w:r>
      <w:r>
        <w:t xml:space="preserve"> </w:t>
      </w:r>
      <w:r>
        <w:rPr>
          <w:iCs/>
          <w:i/>
        </w:rPr>
        <w:t xml:space="preserve">Nicotiana benthamiana</w:t>
      </w:r>
      <w:r>
        <w:t xml:space="preserve"> </w:t>
      </w:r>
      <w:r>
        <w:t xml:space="preserve">and also mentioned work on tomato, potato and grape, we attempted to implement the method on apple and poplar trees. Another result different in comparison to their work, the new shoot formed on the top of the stem was not deformed (Figure</w:t>
      </w:r>
      <w:r>
        <w:t xml:space="preserve"> </w:t>
      </w:r>
      <w:r>
        <w:t xml:space="preserve">), possibly as a result of the nature of the growth, mimicking the natural shoot apical meristem, and the apical control with all its hormone flux involve in the process.</w:t>
      </w:r>
    </w:p>
    <w:p>
      <w:pPr>
        <w:pStyle w:val="BodyText"/>
      </w:pPr>
      <w:r>
        <w:t xml:space="preserve">In the infection methods experiment only 1 plant was infected with each plasmid with the method described and later on shown promise results in de-novo shoot regeneration. Although regenerative plants was clearly observed, no mutation was found as a result of the Cas9 activity. Further investigation is required in the subject for more conclusive results, Therefor DRs experiment was preformed, with more repetitions and wider range of apple varieties.</w:t>
      </w:r>
    </w:p>
    <w:p>
      <w:pPr>
        <w:pStyle w:val="BodyText"/>
      </w:pPr>
      <w:r>
        <w:t xml:space="preserve">In the DRs experiment 352 plants infected, out of 44 infected with</w:t>
      </w:r>
      <w:r>
        <w:t xml:space="preserve"> </w:t>
      </w:r>
      <w:r>
        <w:rPr>
          <w:iCs/>
          <w:i/>
        </w:rPr>
        <w:t xml:space="preserve">WOX11</w:t>
      </w:r>
      <w:r>
        <w:t xml:space="preserve">-</w:t>
      </w:r>
      <w:r>
        <w:rPr>
          <w:iCs/>
          <w:i/>
        </w:rPr>
        <w:t xml:space="preserve">STM</w:t>
      </w:r>
      <w:r>
        <w:t xml:space="preserve">, 4 regenerate new shoot from the cut site. In the infection methods experiment, the cut site was not covered. After reviewing the work of</w:t>
      </w:r>
      <w:r>
        <w:t xml:space="preserve"> </w:t>
      </w:r>
      <w:r>
        <w:t xml:space="preserve">(Zhang et al. 2017)</w:t>
      </w:r>
      <w:r>
        <w:t xml:space="preserve">, a decision was made to use parafilm for better moister maintenance.</w:t>
      </w:r>
    </w:p>
    <w:p>
      <w:pPr>
        <w:pStyle w:val="BodyText"/>
      </w:pPr>
      <w:r>
        <w:t xml:space="preserve">In the scale-up experiment, both parafilm and aluminum foil was used to cover the stem cut for kipping dark and moist environment. The Dark environment is crucial in the first 48 hours for the agrobacterium infection. Unfortunately, as a result of disease spread, no phenotype was observed.</w:t>
      </w:r>
    </w:p>
    <w:p>
      <w:pPr>
        <w:pStyle w:val="BodyText"/>
      </w:pPr>
      <w:r>
        <w:t xml:space="preserve">To increase the possibility of infection success, the next seeds were grown under aseptic conditions, on soil. And were kept in a high humidity environment. No shoot regeneration formed in that case too.</w:t>
      </w:r>
    </w:p>
    <w:p>
      <w:pPr>
        <w:pStyle w:val="BodyText"/>
      </w:pPr>
      <w:r>
        <w:t xml:space="preserve">To further attempt and increase the frequency of de-novo shoot formation, we pursue the identification of new trascription factors that are development regulators in trees and parhapse, under the right conditions, would act as a master regulators. Fortunatly, in 2017 the</w:t>
      </w:r>
      <w:r>
        <w:t xml:space="preserve"> </w:t>
      </w:r>
      <w:hyperlink r:id="rId98">
        <w:r>
          <w:rPr>
            <w:rStyle w:val="Hyperlink"/>
            <w:bCs/>
            <w:b/>
          </w:rPr>
          <w:t xml:space="preserve">DOE Joint Genome Institute</w:t>
        </w:r>
      </w:hyperlink>
      <w:r>
        <w:t xml:space="preserve"> </w:t>
      </w:r>
      <w:r>
        <w:t xml:space="preserve">(Grigoriev et al. 2012)</w:t>
      </w:r>
      <w:r>
        <w:t xml:space="preserve"> </w:t>
      </w:r>
      <w:r>
        <w:t xml:space="preserve">sequenced the</w:t>
      </w:r>
      <w:r>
        <w:t xml:space="preserve"> </w:t>
      </w:r>
      <w:r>
        <w:rPr>
          <w:iCs/>
          <w:i/>
        </w:rPr>
        <w:t xml:space="preserve">Populus tremula x alba</w:t>
      </w:r>
      <w:r>
        <w:t xml:space="preserve"> </w:t>
      </w:r>
      <w:r>
        <w:t xml:space="preserve">INRA717-IB4 transcriptome. With that dataset available, we could analyse the transcription profile per tissue, and highlight certine genes that holds strong correlation to the development of shoot. In our analysis we found that out of the WUSCHEL-related homeobox (WOX) gene family,</w:t>
      </w:r>
      <w:r>
        <w:t xml:space="preserve"> </w:t>
      </w:r>
      <w:r>
        <w:rPr>
          <w:iCs/>
          <w:i/>
        </w:rPr>
        <w:t xml:space="preserve">WOX1</w:t>
      </w:r>
      <w:r>
        <w:t xml:space="preserve"> </w:t>
      </w:r>
      <w:r>
        <w:t xml:space="preserve">had the strongest correlation for shoot formation. That finding correspond to the findings mentioned in Tvorogova et al’s. review</w:t>
      </w:r>
      <w:r>
        <w:t xml:space="preserve"> </w:t>
      </w:r>
      <w:r>
        <w:t xml:space="preserve">(Tvorogova et al. 2021)</w:t>
      </w:r>
      <w:r>
        <w:t xml:space="preserve">, there</w:t>
      </w:r>
      <w:r>
        <w:t xml:space="preserve"> </w:t>
      </w:r>
      <w:r>
        <w:rPr>
          <w:iCs/>
          <w:i/>
        </w:rPr>
        <w:t xml:space="preserve">WOX1</w:t>
      </w:r>
      <w:r>
        <w:t xml:space="preserve"> </w:t>
      </w:r>
      <w:r>
        <w:t xml:space="preserve">found to regulate auxin response. This can be realized since many of the genes whose expression is affected by WOX1 are involved in signaling pathways, transport, and synthesis of auxin. Furthermore, after narrowing the results only to those genes that are at least an order of magnitude shoot specific over all tissues, WOX1 came in 8’th position out of 85 genes.</w:t>
      </w:r>
    </w:p>
    <w:p>
      <w:pPr>
        <w:pStyle w:val="BodyText"/>
      </w:pPr>
      <w:r>
        <w:t xml:space="preserve">With strong corelation to our results of regeneration with the combination of genes</w:t>
      </w:r>
      <w:r>
        <w:t xml:space="preserve"> </w:t>
      </w:r>
      <w:r>
        <w:rPr>
          <w:iCs/>
          <w:i/>
        </w:rPr>
        <w:t xml:space="preserve">WOX11</w:t>
      </w:r>
      <w:r>
        <w:t xml:space="preserve">-</w:t>
      </w:r>
      <w:r>
        <w:rPr>
          <w:iCs/>
          <w:i/>
        </w:rPr>
        <w:t xml:space="preserve">STM</w:t>
      </w:r>
      <w:r>
        <w:t xml:space="preserve"> </w:t>
      </w:r>
      <w:r>
        <w:t xml:space="preserve">and</w:t>
      </w:r>
      <w:r>
        <w:t xml:space="preserve"> </w:t>
      </w:r>
      <w:r>
        <w:rPr>
          <w:iCs/>
          <w:i/>
        </w:rPr>
        <w:t xml:space="preserve">WUS2</w:t>
      </w:r>
      <w:r>
        <w:t xml:space="preserve">-</w:t>
      </w:r>
      <w:r>
        <w:rPr>
          <w:iCs/>
          <w:i/>
        </w:rPr>
        <w:t xml:space="preserve">STM</w:t>
      </w:r>
      <w:r>
        <w:t xml:space="preserve">, It has been shown that in the regulation of SAM, STM and WUS act in parallel, and they are necessary for the normal expression of each other</w:t>
      </w:r>
      <w:r>
        <w:t xml:space="preserve"> </w:t>
      </w:r>
      <w:r>
        <w:t xml:space="preserve">(Tvorogova et al. 2021)</w:t>
      </w:r>
      <w:r>
        <w:t xml:space="preserve">. This insight can also explain the non-deformed shoot formation we observe in contrast to Maher et al’s.</w:t>
      </w:r>
      <w:r>
        <w:t xml:space="preserve">(Maher et al. 2020)</w:t>
      </w:r>
      <w:r>
        <w:t xml:space="preserve"> </w:t>
      </w:r>
      <w:r>
        <w:t xml:space="preserve">findings.</w:t>
      </w:r>
    </w:p>
    <w:p>
      <w:pPr>
        <w:pStyle w:val="BodyText"/>
      </w:pPr>
      <w:r>
        <w:rPr>
          <w:iCs/>
          <w:i/>
        </w:rPr>
        <w:t xml:space="preserve">WOX11</w:t>
      </w:r>
      <w:r>
        <w:t xml:space="preserve"> </w:t>
      </w:r>
      <w:r>
        <w:t xml:space="preserve">known primarily as regulators of callus formation and development of adventitious roots, although it has been shown to be involved in other types of regeneration, such as shoot regeneration and somatic embryogenesis. For example, the positive effect of PtWOX11 on shoot regeneration in</w:t>
      </w:r>
      <w:r>
        <w:t xml:space="preserve"> </w:t>
      </w:r>
      <w:r>
        <w:rPr>
          <w:iCs/>
          <w:i/>
        </w:rPr>
        <w:t xml:space="preserve">Populus alba x glandulosa</w:t>
      </w:r>
      <w:r>
        <w:t xml:space="preserve"> </w:t>
      </w:r>
      <w:r>
        <w:t xml:space="preserve">has been shown</w:t>
      </w:r>
      <w:r>
        <w:t xml:space="preserve"> </w:t>
      </w:r>
      <w:r>
        <w:t xml:space="preserve">(Liu et al. 2018)</w:t>
      </w:r>
      <w:r>
        <w:t xml:space="preserve">.</w:t>
      </w:r>
    </w:p>
    <w:p>
      <w:pPr>
        <w:pStyle w:val="BodyText"/>
      </w:pPr>
      <w:r>
        <w:t xml:space="preserve">To validate our RNA-seq analisys, we extracted total RNA from similar tissues as the DOE’s dataset (excluding callus, since it does not acure in natural growth). Then we run RT-qPCR analisys on the expression of</w:t>
      </w:r>
      <w:r>
        <w:t xml:space="preserve"> </w:t>
      </w:r>
      <w:r>
        <w:rPr>
          <w:iCs/>
          <w:i/>
        </w:rPr>
        <w:t xml:space="preserve">WOX1</w:t>
      </w:r>
      <w:r>
        <w:t xml:space="preserve"> </w:t>
      </w:r>
      <w:r>
        <w:t xml:space="preserve">with varius normalizer genes. Since the expression profile of the different tissues vary massivly, it has been hard to find an appropriate normalizer gene whose expression remains homogeneousness between the tissues. Despite that, we can still see the over all trend in which it does seems that as the coefficient of variation (CV) get smaller, the results of the RT-qPCR become more similar to the RNA-seq results (Figure</w:t>
      </w:r>
      <w:r>
        <w:t xml:space="preserve"> </w:t>
      </w:r>
      <w:r>
        <w:t xml:space="preserve">). When sorting the tissues by the expression of the gene</w:t>
      </w:r>
      <w:r>
        <w:t xml:space="preserve"> </w:t>
      </w:r>
      <w:r>
        <w:rPr>
          <w:iCs/>
          <w:i/>
        </w:rPr>
        <w:t xml:space="preserve">WOX1</w:t>
      </w:r>
      <w:r>
        <w:t xml:space="preserve"> </w:t>
      </w:r>
      <w:r>
        <w:t xml:space="preserve">in the RT-qPCR results and in the RNA-seq analisys, the only tissue moved in the order was shoot tip. This tissue is not well defined and the major variability in the results can be explained by the resolution of the isolation of the tissue. Shoot tip is a combination of SAM, stem and leaves among other tissues and it is hard to isolate, let alone define in a gene expression lens.</w:t>
      </w:r>
    </w:p>
    <w:p>
      <w:pPr>
        <w:pStyle w:val="BodyText"/>
      </w:pPr>
      <w:r>
        <w:t xml:space="preserve">The quest to achieve an in planta transformation in trees was a huge challenge. In this work we have built upon the success of legends in the field of plant manipulation and widen a lot the base knowledge and knowhow in this area. Although the final results could not reach the last milestone of in planta gene editing, it has seccid in constructing an array of vectors and manage to evoke de-novo shoot regeneration on an soil grown tree.</w:t>
      </w:r>
    </w:p>
    <w:bookmarkEnd w:id="99"/>
    <w:bookmarkStart w:id="100" w:name="acknowledgements"/>
    <w:p>
      <w:pPr>
        <w:pStyle w:val="Heading1"/>
      </w:pPr>
      <w:r>
        <w:rPr>
          <w:rStyle w:val="SectionNumber"/>
        </w:rPr>
        <w:t xml:space="preserve">7</w:t>
      </w:r>
      <w:r>
        <w:tab/>
      </w:r>
      <w:r>
        <w:t xml:space="preserve">Acknowledgements</w:t>
      </w:r>
    </w:p>
    <w:bookmarkEnd w:id="100"/>
    <w:bookmarkStart w:id="110" w:name="supplementary-information"/>
    <w:p>
      <w:pPr>
        <w:pStyle w:val="Heading1"/>
      </w:pPr>
      <w:r>
        <w:rPr>
          <w:rStyle w:val="SectionNumber"/>
        </w:rPr>
        <w:t xml:space="preserve">8</w:t>
      </w:r>
      <w:r>
        <w:tab/>
      </w:r>
      <w:r>
        <w:t xml:space="preserve">Supplementary information</w:t>
      </w:r>
    </w:p>
    <w:p>
      <w:pPr>
        <w:pStyle w:val="FirstParagraph"/>
      </w:pPr>
      <w:hyperlink r:id="rId101">
        <w:r>
          <w:rPr>
            <w:rStyle w:val="Hyperlink"/>
          </w:rPr>
          <w:t xml:space="preserve">Analysis code link.</w:t>
        </w:r>
      </w:hyperlink>
    </w:p>
    <w:p>
      <w:pPr>
        <w:pStyle w:val="BodyText"/>
      </w:pPr>
      <w:r>
        <w:drawing>
          <wp:inline>
            <wp:extent cx="5334000" cy="995957"/>
            <wp:effectExtent b="0" l="0" r="0" t="0"/>
            <wp:docPr descr="Surgical removal of the axillary bud and injection of vector for de-novo shoot induction (Maher et al. 2020)" title="" id="1" name="Picture"/>
            <a:graphic>
              <a:graphicData uri="http://schemas.openxmlformats.org/drawingml/2006/picture">
                <pic:pic>
                  <pic:nvPicPr>
                    <pic:cNvPr descr="Bud%20excision.png" id="0" name="Picture"/>
                    <pic:cNvPicPr>
                      <a:picLocks noChangeArrowheads="1" noChangeAspect="1"/>
                    </pic:cNvPicPr>
                  </pic:nvPicPr>
                  <pic:blipFill>
                    <a:blip r:embed="rId102"/>
                    <a:stretch>
                      <a:fillRect/>
                    </a:stretch>
                  </pic:blipFill>
                  <pic:spPr bwMode="auto">
                    <a:xfrm>
                      <a:off x="0" y="0"/>
                      <a:ext cx="5334000" cy="995957"/>
                    </a:xfrm>
                    <a:prstGeom prst="rect">
                      <a:avLst/>
                    </a:prstGeom>
                    <a:noFill/>
                    <a:ln w="9525">
                      <a:noFill/>
                      <a:headEnd/>
                      <a:tailEnd/>
                    </a:ln>
                  </pic:spPr>
                </pic:pic>
              </a:graphicData>
            </a:graphic>
          </wp:inline>
        </w:drawing>
      </w:r>
      <w:r>
        <w:t xml:space="preserve"> </w:t>
      </w:r>
      <w:r>
        <w:drawing>
          <wp:inline>
            <wp:extent cx="5334000" cy="2433637"/>
            <wp:effectExtent b="0" l="0" r="0" t="0"/>
            <wp:docPr descr="Abnormal shoot regeneration formation as a result of DR over-expression (Maher et al. 2020)" title="" id="1" name="Picture"/>
            <a:graphic>
              <a:graphicData uri="http://schemas.openxmlformats.org/drawingml/2006/picture">
                <pic:pic>
                  <pic:nvPicPr>
                    <pic:cNvPr descr="Deform%20benthamiana%20PDS.png" id="0" name="Picture"/>
                    <pic:cNvPicPr>
                      <a:picLocks noChangeArrowheads="1" noChangeAspect="1"/>
                    </pic:cNvPicPr>
                  </pic:nvPicPr>
                  <pic:blipFill>
                    <a:blip r:embed="rId103"/>
                    <a:stretch>
                      <a:fillRect/>
                    </a:stretch>
                  </pic:blipFill>
                  <pic:spPr bwMode="auto">
                    <a:xfrm>
                      <a:off x="0" y="0"/>
                      <a:ext cx="5334000" cy="2433637"/>
                    </a:xfrm>
                    <a:prstGeom prst="rect">
                      <a:avLst/>
                    </a:prstGeom>
                    <a:noFill/>
                    <a:ln w="9525">
                      <a:noFill/>
                      <a:headEnd/>
                      <a:tailEnd/>
                    </a:ln>
                  </pic:spPr>
                </pic:pic>
              </a:graphicData>
            </a:graphic>
          </wp:inline>
        </w:drawing>
      </w:r>
      <w:r>
        <w:t xml:space="preserve"> </w:t>
      </w:r>
      <w:r>
        <w:drawing>
          <wp:inline>
            <wp:extent cx="5334000" cy="5424406"/>
            <wp:effectExtent b="0" l="0" r="0" t="0"/>
            <wp:docPr descr="Agrobacterium-mediated in planta transformation for Citrus maxima.  Three to four week old C. maxima seedlings.  Decapitated C. maxima seedlings.  Agrobacterium infection.  Agrobacterium infected seedlings with wounds wrapped with Parafilm.  Dark incubation during co-culture.  sprouted bud from newly formed callus.  sprouted buds from xylem.  regenerated shoots four weeks after transformation.  regenerated shoots three months after transformation. (Zhang et al. 2017)" title="" id="1" name="Picture"/>
            <a:graphic>
              <a:graphicData uri="http://schemas.openxmlformats.org/drawingml/2006/picture">
                <pic:pic>
                  <pic:nvPicPr>
                    <pic:cNvPr descr="Pommelo%20transformation.png" id="0" name="Picture"/>
                    <pic:cNvPicPr>
                      <a:picLocks noChangeArrowheads="1" noChangeAspect="1"/>
                    </pic:cNvPicPr>
                  </pic:nvPicPr>
                  <pic:blipFill>
                    <a:blip r:embed="rId104"/>
                    <a:stretch>
                      <a:fillRect/>
                    </a:stretch>
                  </pic:blipFill>
                  <pic:spPr bwMode="auto">
                    <a:xfrm>
                      <a:off x="0" y="0"/>
                      <a:ext cx="5334000" cy="5424406"/>
                    </a:xfrm>
                    <a:prstGeom prst="rect">
                      <a:avLst/>
                    </a:prstGeom>
                    <a:noFill/>
                    <a:ln w="9525">
                      <a:noFill/>
                      <a:headEnd/>
                      <a:tailEnd/>
                    </a:ln>
                  </pic:spPr>
                </pic:pic>
              </a:graphicData>
            </a:graphic>
          </wp:inline>
        </w:drawing>
      </w:r>
    </w:p>
    <w:bookmarkStart w:id="105" w:name="protocols-1"/>
    <w:p>
      <w:pPr>
        <w:pStyle w:val="Heading2"/>
      </w:pPr>
      <w:r>
        <w:rPr>
          <w:rStyle w:val="SectionNumber"/>
        </w:rPr>
        <w:t xml:space="preserve">8.1</w:t>
      </w:r>
      <w:r>
        <w:tab/>
      </w:r>
      <w:r>
        <w:t xml:space="preserve">Protocols</w:t>
      </w:r>
    </w:p>
    <w:bookmarkEnd w:id="105"/>
    <w:bookmarkStart w:id="106" w:name="gel-agarose-for-dna-electrophoresis"/>
    <w:p>
      <w:pPr>
        <w:pStyle w:val="Heading2"/>
      </w:pPr>
      <w:r>
        <w:rPr>
          <w:rStyle w:val="SectionNumber"/>
        </w:rPr>
        <w:t xml:space="preserve">8.2</w:t>
      </w:r>
      <w:r>
        <w:tab/>
      </w:r>
      <w:hyperlink r:id="rId48">
        <w:r>
          <w:rPr>
            <w:rStyle w:val="Hyperlink"/>
          </w:rPr>
          <w:t xml:space="preserve">Gel agarose for DNA electrophoresis</w:t>
        </w:r>
      </w:hyperlink>
    </w:p>
    <w:p>
      <w:pPr>
        <w:pStyle w:val="FirstParagraph"/>
      </w:pPr>
      <w:r>
        <w:t xml:space="preserve">Introduction:</w:t>
      </w:r>
    </w:p>
    <w:p>
      <w:pPr>
        <w:pStyle w:val="BodyText"/>
      </w:pPr>
      <w:r>
        <w:t xml:space="preserve">Preperation protocol of gel agarose for DNA electrophoresis.</w:t>
      </w:r>
    </w:p>
    <w:p>
      <w:pPr>
        <w:pStyle w:val="BodyText"/>
      </w:pPr>
      <w:r>
        <w:t xml:space="preserve">Materials:</w:t>
      </w:r>
    </w:p>
    <w:p>
      <w:pPr>
        <w:numPr>
          <w:ilvl w:val="0"/>
          <w:numId w:val="1006"/>
        </w:numPr>
        <w:pStyle w:val="Compact"/>
      </w:pPr>
      <w:r>
        <w:t xml:space="preserve">Tray + Comb (With enough places for samples + ladder)</w:t>
      </w:r>
    </w:p>
    <w:p>
      <w:pPr>
        <w:numPr>
          <w:ilvl w:val="0"/>
          <w:numId w:val="1006"/>
        </w:numPr>
        <w:pStyle w:val="Compact"/>
      </w:pPr>
      <w:r>
        <w:t xml:space="preserve">LE multi-purpose agarose (Usually 1-2%)</w:t>
      </w:r>
    </w:p>
    <w:p>
      <w:pPr>
        <w:numPr>
          <w:ilvl w:val="0"/>
          <w:numId w:val="1006"/>
        </w:numPr>
        <w:pStyle w:val="Compact"/>
      </w:pPr>
      <w:r>
        <w:t xml:space="preserve">TAE * 1 Buffer (volume depend on Container)</w:t>
      </w:r>
    </w:p>
    <w:p>
      <w:pPr>
        <w:numPr>
          <w:ilvl w:val="0"/>
          <w:numId w:val="1006"/>
        </w:numPr>
        <w:pStyle w:val="Compact"/>
      </w:pPr>
      <w:r>
        <w:t xml:space="preserve">Ethidium bromide solution (1 drop for every 50 ml of gel)</w:t>
      </w:r>
    </w:p>
    <w:p>
      <w:pPr>
        <w:numPr>
          <w:ilvl w:val="0"/>
          <w:numId w:val="1006"/>
        </w:numPr>
        <w:pStyle w:val="Compact"/>
      </w:pPr>
      <w:r>
        <w:t xml:space="preserve">loading dye (1 µL loading dye per 5 µL sample) *Taq ready mix already contain dye.</w:t>
      </w:r>
    </w:p>
    <w:p>
      <w:pPr>
        <w:pStyle w:val="FirstParagraph"/>
      </w:pPr>
      <w:r>
        <w:t xml:space="preserve">Procedure:</w:t>
      </w:r>
    </w:p>
    <w:p>
      <w:pPr>
        <w:pStyle w:val="BodyText"/>
      </w:pPr>
      <w:r>
        <w:rPr>
          <w:bCs/>
          <w:b/>
        </w:rPr>
        <w:t xml:space="preserve">Gel mixture, loading and running</w:t>
      </w:r>
    </w:p>
    <w:p>
      <w:pPr>
        <w:numPr>
          <w:ilvl w:val="0"/>
          <w:numId w:val="1007"/>
        </w:numPr>
        <w:pStyle w:val="Compact"/>
      </w:pPr>
      <w:r>
        <w:t xml:space="preserve">Measure agarose by weight.</w:t>
      </w:r>
    </w:p>
    <w:p>
      <w:pPr>
        <w:numPr>
          <w:ilvl w:val="0"/>
          <w:numId w:val="1007"/>
        </w:numPr>
        <w:pStyle w:val="Compact"/>
      </w:pPr>
      <w:r>
        <w:t xml:space="preserve">Dissolves in TAE buffer.</w:t>
      </w:r>
    </w:p>
    <w:p>
      <w:pPr>
        <w:numPr>
          <w:ilvl w:val="0"/>
          <w:numId w:val="1007"/>
        </w:numPr>
        <w:pStyle w:val="Compact"/>
      </w:pPr>
      <w:r>
        <w:t xml:space="preserve">Microwave until fully dissolved.</w:t>
      </w:r>
    </w:p>
    <w:p>
      <w:pPr>
        <w:numPr>
          <w:ilvl w:val="0"/>
          <w:numId w:val="1007"/>
        </w:numPr>
        <w:pStyle w:val="Compact"/>
      </w:pPr>
      <w:r>
        <w:t xml:space="preserve">Add ethidium bromide.</w:t>
      </w:r>
    </w:p>
    <w:p>
      <w:pPr>
        <w:numPr>
          <w:ilvl w:val="0"/>
          <w:numId w:val="1007"/>
        </w:numPr>
        <w:pStyle w:val="Compact"/>
      </w:pPr>
      <w:r>
        <w:t xml:space="preserve">Pour into tray + comb.</w:t>
      </w:r>
    </w:p>
    <w:p>
      <w:pPr>
        <w:numPr>
          <w:ilvl w:val="0"/>
          <w:numId w:val="1007"/>
        </w:numPr>
        <w:pStyle w:val="Compact"/>
      </w:pPr>
      <w:r>
        <w:t xml:space="preserve">Wait until the gel polymerizes.</w:t>
      </w:r>
    </w:p>
    <w:p>
      <w:pPr>
        <w:numPr>
          <w:ilvl w:val="0"/>
          <w:numId w:val="1007"/>
        </w:numPr>
        <w:pStyle w:val="Compact"/>
      </w:pPr>
      <w:r>
        <w:t xml:space="preserve">Carefully remove the comb to expose the sample wells.</w:t>
      </w:r>
    </w:p>
    <w:p>
      <w:pPr>
        <w:numPr>
          <w:ilvl w:val="0"/>
          <w:numId w:val="1007"/>
        </w:numPr>
        <w:pStyle w:val="Compact"/>
      </w:pPr>
      <w:r>
        <w:t xml:space="preserve">Place the gel into the tank.</w:t>
      </w:r>
    </w:p>
    <w:p>
      <w:pPr>
        <w:numPr>
          <w:ilvl w:val="0"/>
          <w:numId w:val="1007"/>
        </w:numPr>
        <w:pStyle w:val="Compact"/>
      </w:pPr>
      <w:r>
        <w:t xml:space="preserve">Pour TAE buffer into the tank high enough to cover the gel.</w:t>
      </w:r>
    </w:p>
    <w:p>
      <w:pPr>
        <w:numPr>
          <w:ilvl w:val="0"/>
          <w:numId w:val="1007"/>
        </w:numPr>
        <w:pStyle w:val="Compact"/>
      </w:pPr>
      <w:r>
        <w:t xml:space="preserve">Add loading dye (if necessary).</w:t>
      </w:r>
    </w:p>
    <w:p>
      <w:pPr>
        <w:numPr>
          <w:ilvl w:val="0"/>
          <w:numId w:val="1007"/>
        </w:numPr>
        <w:pStyle w:val="Compact"/>
      </w:pPr>
      <w:r>
        <w:t xml:space="preserve">load DNA sample.</w:t>
      </w:r>
    </w:p>
    <w:p>
      <w:pPr>
        <w:numPr>
          <w:ilvl w:val="0"/>
          <w:numId w:val="1007"/>
        </w:numPr>
        <w:pStyle w:val="Compact"/>
      </w:pPr>
      <w:r>
        <w:t xml:space="preserve">Connect the tank to the power supply.</w:t>
      </w:r>
    </w:p>
    <w:p>
      <w:pPr>
        <w:numPr>
          <w:ilvl w:val="0"/>
          <w:numId w:val="1007"/>
        </w:numPr>
        <w:pStyle w:val="Compact"/>
      </w:pPr>
      <w:r>
        <w:t xml:space="preserve">Set the voltage at ~110 V for 30 minutes *The passage of current will produce bubbles at the electrodes.</w:t>
      </w:r>
    </w:p>
    <w:bookmarkEnd w:id="106"/>
    <w:bookmarkStart w:id="107" w:name="Xdb766cfd0ad3aa99d8c9f81ef205199b1d569c3"/>
    <w:p>
      <w:pPr>
        <w:pStyle w:val="Heading2"/>
      </w:pPr>
      <w:r>
        <w:rPr>
          <w:rStyle w:val="SectionNumber"/>
        </w:rPr>
        <w:t xml:space="preserve">8.3</w:t>
      </w:r>
      <w:r>
        <w:tab/>
      </w:r>
      <w:r>
        <w:t xml:space="preserve">E.coli Heat-shock competent preperation</w:t>
      </w:r>
      <w:r>
        <w:t xml:space="preserve"> </w:t>
      </w:r>
      <w:r>
        <w:t xml:space="preserve">(Chang et al. 2017)</w:t>
      </w:r>
    </w:p>
    <w:p>
      <w:pPr>
        <w:pStyle w:val="FirstParagraph"/>
      </w:pPr>
      <w:r>
        <w:t xml:space="preserve">Introduction:</w:t>
      </w:r>
    </w:p>
    <w:p>
      <w:pPr>
        <w:pStyle w:val="BodyText"/>
      </w:pPr>
      <w:r>
        <w:t xml:space="preserve">Preperation of E.coli competent for Heat shock transformation.</w:t>
      </w:r>
    </w:p>
    <w:p>
      <w:pPr>
        <w:pStyle w:val="BodyText"/>
      </w:pPr>
      <w:r>
        <w:t xml:space="preserve">Materials:</w:t>
      </w:r>
    </w:p>
    <w:p>
      <w:pPr>
        <w:numPr>
          <w:ilvl w:val="0"/>
          <w:numId w:val="1008"/>
        </w:numPr>
        <w:pStyle w:val="Compact"/>
      </w:pPr>
      <w:r>
        <w:t xml:space="preserve">Liquid nitrogen</w:t>
      </w:r>
    </w:p>
    <w:p>
      <w:pPr>
        <w:numPr>
          <w:ilvl w:val="0"/>
          <w:numId w:val="1008"/>
        </w:numPr>
        <w:pStyle w:val="Compact"/>
      </w:pPr>
      <w:r>
        <w:t xml:space="preserve">ice</w:t>
      </w:r>
    </w:p>
    <w:p>
      <w:pPr>
        <w:numPr>
          <w:ilvl w:val="0"/>
          <w:numId w:val="1008"/>
        </w:numPr>
        <w:pStyle w:val="Compact"/>
      </w:pPr>
      <w:r>
        <w:t xml:space="preserve">LB with sutable antibiotics</w:t>
      </w:r>
    </w:p>
    <w:p>
      <w:pPr>
        <w:numPr>
          <w:ilvl w:val="0"/>
          <w:numId w:val="1008"/>
        </w:numPr>
        <w:pStyle w:val="Compact"/>
      </w:pPr>
      <w:r>
        <w:t xml:space="preserve">20 mM</w:t>
      </w:r>
      <w:r>
        <w:t xml:space="preserve"> </w:t>
      </w:r>
      <m:oMath>
        <m:r>
          <m:t>C</m:t>
        </m:r>
        <m:r>
          <m:t>a</m:t>
        </m:r>
        <m:r>
          <m:t>C</m:t>
        </m:r>
        <m:sSub>
          <m:e>
            <m:r>
              <m:t>l</m:t>
            </m:r>
          </m:e>
          <m:sub>
            <m:r>
              <m:t>2</m:t>
            </m:r>
          </m:sub>
        </m:sSub>
      </m:oMath>
      <w:r>
        <w:t xml:space="preserve"> </w:t>
      </w:r>
      <w:r>
        <w:t xml:space="preserve">+ 15% glycerol sterile</w:t>
      </w:r>
    </w:p>
    <w:p>
      <w:pPr>
        <w:pStyle w:val="FirstParagraph"/>
      </w:pPr>
      <w:r>
        <w:t xml:space="preserve">Procedure:</w:t>
      </w:r>
    </w:p>
    <w:p>
      <w:pPr>
        <w:pStyle w:val="BodyText"/>
      </w:pPr>
      <w:r>
        <w:rPr>
          <w:bCs/>
          <w:b/>
        </w:rPr>
        <w:t xml:space="preserve">Pre-Culture</w:t>
      </w:r>
    </w:p>
    <w:p>
      <w:pPr>
        <w:numPr>
          <w:ilvl w:val="0"/>
          <w:numId w:val="1009"/>
        </w:numPr>
        <w:pStyle w:val="Compact"/>
      </w:pPr>
      <w:r>
        <w:t xml:space="preserve">Pick single colony into a 4 ml LB (antibiotick if needed)</w:t>
      </w:r>
    </w:p>
    <w:p>
      <w:pPr>
        <w:numPr>
          <w:ilvl w:val="0"/>
          <w:numId w:val="1009"/>
        </w:numPr>
        <w:pStyle w:val="Compact"/>
      </w:pPr>
      <w:r>
        <w:t xml:space="preserve">Grow at</w:t>
      </w:r>
      <w:r>
        <w:t xml:space="preserve"> </w:t>
      </w:r>
      <m:oMath>
        <m:sSup>
          <m:e>
            <m:r>
              <m:t>37</m:t>
            </m:r>
          </m:e>
          <m:sup>
            <m:r>
              <m:t>o</m:t>
            </m:r>
          </m:sup>
        </m:sSup>
        <m:r>
          <m:t>C</m:t>
        </m:r>
      </m:oMath>
      <w:r>
        <w:t xml:space="preserve">, 150 rpm overnight culture</w:t>
      </w:r>
    </w:p>
    <w:p>
      <w:pPr>
        <w:pStyle w:val="FirstParagraph"/>
      </w:pPr>
      <w:r>
        <w:rPr>
          <w:bCs/>
          <w:b/>
        </w:rPr>
        <w:t xml:space="preserve">Culture</w:t>
      </w:r>
    </w:p>
    <w:p>
      <w:pPr>
        <w:numPr>
          <w:ilvl w:val="0"/>
          <w:numId w:val="1010"/>
        </w:numPr>
        <w:pStyle w:val="Compact"/>
      </w:pPr>
      <w:r>
        <w:t xml:space="preserve">Add 0.5 ml of pre-culture to 50 ml LB, and Incubate untill</w:t>
      </w:r>
      <w:r>
        <w:t xml:space="preserve"> </w:t>
      </w:r>
      <m:oMath>
        <m:r>
          <m:t>O</m:t>
        </m:r>
        <m:sSub>
          <m:e>
            <m:r>
              <m:t>D</m:t>
            </m:r>
          </m:e>
          <m:sub>
            <m:r>
              <m:t>600</m:t>
            </m:r>
          </m:sub>
        </m:sSub>
      </m:oMath>
      <w:r>
        <w:t xml:space="preserve"> </w:t>
      </w:r>
      <w:r>
        <w:t xml:space="preserve">0.5-1.</w:t>
      </w:r>
    </w:p>
    <w:p>
      <w:pPr>
        <w:numPr>
          <w:ilvl w:val="0"/>
          <w:numId w:val="1010"/>
        </w:numPr>
        <w:pStyle w:val="Compact"/>
      </w:pPr>
      <w:r>
        <w:t xml:space="preserve">Chill culture on ice for 5-10 min.</w:t>
      </w:r>
    </w:p>
    <w:p>
      <w:pPr>
        <w:numPr>
          <w:ilvl w:val="0"/>
          <w:numId w:val="1010"/>
        </w:numPr>
        <w:pStyle w:val="Compact"/>
      </w:pPr>
      <w:r>
        <w:t xml:space="preserve">transfer maximum 30 ml of the colture to a 50 ml tube.</w:t>
      </w:r>
    </w:p>
    <w:p>
      <w:pPr>
        <w:numPr>
          <w:ilvl w:val="0"/>
          <w:numId w:val="1010"/>
        </w:numPr>
        <w:pStyle w:val="Compact"/>
      </w:pPr>
      <w:r>
        <w:t xml:space="preserve">Centrifuge for 10 min at 5000 rpm in</w:t>
      </w:r>
      <w:r>
        <w:t xml:space="preserve"> </w:t>
      </w:r>
      <m:oMath>
        <m:sSup>
          <m:e>
            <m:r>
              <m:t>4</m:t>
            </m:r>
          </m:e>
          <m:sup>
            <m:r>
              <m:t>o</m:t>
            </m:r>
          </m:sup>
        </m:sSup>
        <m:r>
          <m:t>C</m:t>
        </m:r>
      </m:oMath>
      <w:r>
        <w:t xml:space="preserve">.</w:t>
      </w:r>
    </w:p>
    <w:p>
      <w:pPr>
        <w:numPr>
          <w:ilvl w:val="0"/>
          <w:numId w:val="1010"/>
        </w:numPr>
        <w:pStyle w:val="Compact"/>
      </w:pPr>
      <w:r>
        <w:t xml:space="preserve">Discard the supernated and let the tube to dry inverted for 1 min.</w:t>
      </w:r>
    </w:p>
    <w:p>
      <w:pPr>
        <w:numPr>
          <w:ilvl w:val="0"/>
          <w:numId w:val="1010"/>
        </w:numPr>
        <w:pStyle w:val="Compact"/>
      </w:pPr>
      <w:r>
        <w:t xml:space="preserve">Add 0.5 ml ice cold 20 mM</w:t>
      </w:r>
      <w:r>
        <w:t xml:space="preserve"> </w:t>
      </w:r>
      <m:oMath>
        <m:r>
          <m:t>C</m:t>
        </m:r>
        <m:r>
          <m:t>a</m:t>
        </m:r>
        <m:r>
          <m:t>C</m:t>
        </m:r>
        <m:sSub>
          <m:e>
            <m:r>
              <m:t>l</m:t>
            </m:r>
          </m:e>
          <m:sub>
            <m:r>
              <m:t>2</m:t>
            </m:r>
          </m:sub>
        </m:sSub>
      </m:oMath>
      <w:r>
        <w:t xml:space="preserve"> </w:t>
      </w:r>
      <w:r>
        <w:t xml:space="preserve">+ 15% glycerol.</w:t>
      </w:r>
    </w:p>
    <w:p>
      <w:pPr>
        <w:numPr>
          <w:ilvl w:val="0"/>
          <w:numId w:val="1010"/>
        </w:numPr>
        <w:pStyle w:val="Compact"/>
      </w:pPr>
      <w:r>
        <w:t xml:space="preserve">Aliquot 100</w:t>
      </w:r>
      <w:r>
        <w:t xml:space="preserve"> </w:t>
      </w:r>
      <m:oMath>
        <m:r>
          <m:t>μ</m:t>
        </m:r>
        <m:r>
          <m:t>l</m:t>
        </m:r>
      </m:oMath>
      <w:r>
        <w:t xml:space="preserve"> </w:t>
      </w:r>
      <w:r>
        <w:t xml:space="preserve">and freeze directly in liquid nitrogen.</w:t>
      </w:r>
    </w:p>
    <w:bookmarkEnd w:id="107"/>
    <w:bookmarkStart w:id="108" w:name="X3acddd90ca0da57082bf993cdce03ca9ab9f1d8"/>
    <w:p>
      <w:pPr>
        <w:pStyle w:val="Heading2"/>
      </w:pPr>
      <w:r>
        <w:rPr>
          <w:rStyle w:val="SectionNumber"/>
        </w:rPr>
        <w:t xml:space="preserve">8.4</w:t>
      </w:r>
      <w:r>
        <w:tab/>
      </w:r>
      <w:hyperlink r:id="rId49">
        <w:r>
          <w:rPr>
            <w:rStyle w:val="Hyperlink"/>
          </w:rPr>
          <w:t xml:space="preserve">E.coli heat-shock transformation</w:t>
        </w:r>
      </w:hyperlink>
      <w:r>
        <w:t xml:space="preserve"> </w:t>
      </w:r>
      <w:r>
        <w:t xml:space="preserve">(Chang et al. 2017)</w:t>
      </w:r>
    </w:p>
    <w:p>
      <w:pPr>
        <w:pStyle w:val="FirstParagraph"/>
      </w:pPr>
      <w:r>
        <w:t xml:space="preserve">Introduction:</w:t>
      </w:r>
    </w:p>
    <w:p>
      <w:pPr>
        <w:pStyle w:val="BodyText"/>
      </w:pPr>
      <w:r>
        <w:t xml:space="preserve">Heat shock plasmid transformation to competent E.coli</w:t>
      </w:r>
    </w:p>
    <w:p>
      <w:pPr>
        <w:pStyle w:val="BodyText"/>
      </w:pPr>
      <w:r>
        <w:t xml:space="preserve">Materials:</w:t>
      </w:r>
    </w:p>
    <w:p>
      <w:pPr>
        <w:numPr>
          <w:ilvl w:val="0"/>
          <w:numId w:val="1011"/>
        </w:numPr>
        <w:pStyle w:val="Compact"/>
      </w:pPr>
      <w:r>
        <w:t xml:space="preserve">Competent E.coli cells</w:t>
      </w:r>
    </w:p>
    <w:p>
      <w:pPr>
        <w:numPr>
          <w:ilvl w:val="0"/>
          <w:numId w:val="1011"/>
        </w:numPr>
        <w:pStyle w:val="Compact"/>
      </w:pPr>
      <w:r>
        <w:t xml:space="preserve">50</w:t>
      </w:r>
      <w:r>
        <w:t xml:space="preserve"> </w:t>
      </w:r>
      <m:oMath>
        <m:r>
          <m:t>μ</m:t>
        </m:r>
        <m:r>
          <m:t>l</m:t>
        </m:r>
      </m:oMath>
      <w:r>
        <w:t xml:space="preserve"> </w:t>
      </w:r>
      <w:r>
        <w:t xml:space="preserve">For each DNA construct / 100</w:t>
      </w:r>
      <w:r>
        <w:t xml:space="preserve"> </w:t>
      </w:r>
      <m:oMath>
        <m:r>
          <m:t>μ</m:t>
        </m:r>
        <m:r>
          <m:t>l</m:t>
        </m:r>
      </m:oMath>
      <w:r>
        <w:t xml:space="preserve"> </w:t>
      </w:r>
      <w:r>
        <w:t xml:space="preserve">For ligation</w:t>
      </w:r>
    </w:p>
    <w:p>
      <w:pPr>
        <w:numPr>
          <w:ilvl w:val="0"/>
          <w:numId w:val="1011"/>
        </w:numPr>
        <w:pStyle w:val="Compact"/>
      </w:pPr>
      <w:r>
        <w:t xml:space="preserve">50 ng of circular DNA</w:t>
      </w:r>
    </w:p>
    <w:p>
      <w:pPr>
        <w:numPr>
          <w:ilvl w:val="0"/>
          <w:numId w:val="1011"/>
        </w:numPr>
        <w:pStyle w:val="Compact"/>
      </w:pPr>
      <w:r>
        <w:t xml:space="preserve">Ice</w:t>
      </w:r>
    </w:p>
    <w:p>
      <w:pPr>
        <w:numPr>
          <w:ilvl w:val="0"/>
          <w:numId w:val="1011"/>
        </w:numPr>
        <w:pStyle w:val="Compact"/>
      </w:pPr>
      <w:r>
        <w:t xml:space="preserve">Water bath at</w:t>
      </w:r>
      <w:r>
        <w:t xml:space="preserve"> </w:t>
      </w:r>
      <m:oMath>
        <m:sSup>
          <m:e>
            <m:r>
              <m:t>42</m:t>
            </m:r>
          </m:e>
          <m:sup>
            <m:r>
              <m:t>o</m:t>
            </m:r>
          </m:sup>
        </m:sSup>
        <m:r>
          <m:t>C</m:t>
        </m:r>
      </m:oMath>
    </w:p>
    <w:p>
      <w:pPr>
        <w:numPr>
          <w:ilvl w:val="0"/>
          <w:numId w:val="1011"/>
        </w:numPr>
        <w:pStyle w:val="Compact"/>
      </w:pPr>
      <w:r>
        <w:t xml:space="preserve">1.5 ml tube per sample (Eppendorf or similar)</w:t>
      </w:r>
    </w:p>
    <w:p>
      <w:pPr>
        <w:numPr>
          <w:ilvl w:val="0"/>
          <w:numId w:val="1011"/>
        </w:numPr>
        <w:pStyle w:val="Compact"/>
      </w:pPr>
      <w:r>
        <w:t xml:space="preserve">1 ml of LB per sample (with no antibiotic added)</w:t>
      </w:r>
    </w:p>
    <w:p>
      <w:pPr>
        <w:numPr>
          <w:ilvl w:val="0"/>
          <w:numId w:val="1011"/>
        </w:numPr>
        <w:pStyle w:val="Compact"/>
      </w:pPr>
      <w:r>
        <w:t xml:space="preserve">LB + antibiotics plates 2 or 3 per sample for dilutions</w:t>
      </w:r>
    </w:p>
    <w:p>
      <w:pPr>
        <w:numPr>
          <w:ilvl w:val="0"/>
          <w:numId w:val="1011"/>
        </w:numPr>
        <w:pStyle w:val="Compact"/>
      </w:pPr>
      <w:r>
        <w:t xml:space="preserve">Drigalski spatula</w:t>
      </w:r>
    </w:p>
    <w:p>
      <w:pPr>
        <w:pStyle w:val="FirstParagraph"/>
      </w:pPr>
      <w:r>
        <w:t xml:space="preserve">Procedure:</w:t>
      </w:r>
    </w:p>
    <w:p>
      <w:pPr>
        <w:pStyle w:val="BodyText"/>
      </w:pPr>
      <w:r>
        <w:rPr>
          <w:bCs/>
          <w:b/>
        </w:rPr>
        <w:t xml:space="preserve">Heat shock</w:t>
      </w:r>
    </w:p>
    <w:p>
      <w:pPr>
        <w:numPr>
          <w:ilvl w:val="0"/>
          <w:numId w:val="1012"/>
        </w:numPr>
        <w:pStyle w:val="Compact"/>
      </w:pPr>
      <w:r>
        <w:t xml:space="preserve">Take competent E.coli cells from</w:t>
      </w:r>
      <w:r>
        <w:t xml:space="preserve"> </w:t>
      </w:r>
      <m:oMath>
        <m:r>
          <m:rPr>
            <m:sty m:val="p"/>
          </m:rPr>
          <m:t>−</m:t>
        </m:r>
        <m:sSup>
          <m:e>
            <m:r>
              <m:t>80</m:t>
            </m:r>
          </m:e>
          <m:sup>
            <m:r>
              <m:t>o</m:t>
            </m:r>
          </m:sup>
        </m:sSup>
        <m:r>
          <m:t>C</m:t>
        </m:r>
      </m:oMath>
      <w:r>
        <w:t xml:space="preserve"> </w:t>
      </w:r>
      <w:r>
        <w:t xml:space="preserve">freezer. Use Top10 cells in most cases.</w:t>
      </w:r>
    </w:p>
    <w:p>
      <w:pPr>
        <w:numPr>
          <w:ilvl w:val="0"/>
          <w:numId w:val="1012"/>
        </w:numPr>
        <w:pStyle w:val="Compact"/>
      </w:pPr>
      <w:r>
        <w:t xml:space="preserve">Turn on water bath to</w:t>
      </w:r>
      <w:r>
        <w:t xml:space="preserve"> </w:t>
      </w:r>
      <m:oMath>
        <m:sSup>
          <m:e>
            <m:r>
              <m:t>42</m:t>
            </m:r>
          </m:e>
          <m:sup>
            <m:r>
              <m:t>o</m:t>
            </m:r>
          </m:sup>
        </m:sSup>
        <m:r>
          <m:t>C</m:t>
        </m:r>
      </m:oMath>
      <w:r>
        <w:t xml:space="preserve">.</w:t>
      </w:r>
    </w:p>
    <w:p>
      <w:pPr>
        <w:numPr>
          <w:ilvl w:val="0"/>
          <w:numId w:val="1012"/>
        </w:numPr>
        <w:pStyle w:val="Compact"/>
      </w:pPr>
      <w:r>
        <w:t xml:space="preserve">Put competent cells in a 1.5 ml tube (Eppendorf or similar). For transforming a DNA construct, use 50</w:t>
      </w:r>
      <w:r>
        <w:t xml:space="preserve"> </w:t>
      </w:r>
      <m:oMath>
        <m:r>
          <m:t>μ</m:t>
        </m:r>
        <m:r>
          <m:t>l</m:t>
        </m:r>
      </m:oMath>
      <w:r>
        <w:t xml:space="preserve"> </w:t>
      </w:r>
      <w:r>
        <w:t xml:space="preserve">of competent cells. For transforming a ligation, use 100</w:t>
      </w:r>
      <w:r>
        <w:t xml:space="preserve"> </w:t>
      </w:r>
      <m:oMath>
        <m:r>
          <m:t>μ</m:t>
        </m:r>
        <m:r>
          <m:t>l</m:t>
        </m:r>
      </m:oMath>
      <w:r>
        <w:t xml:space="preserve"> </w:t>
      </w:r>
      <w:r>
        <w:t xml:space="preserve">of competent cells. You may need more or less cells, depending how competent they are.</w:t>
      </w:r>
    </w:p>
    <w:p>
      <w:pPr>
        <w:numPr>
          <w:ilvl w:val="0"/>
          <w:numId w:val="1012"/>
        </w:numPr>
        <w:pStyle w:val="Compact"/>
      </w:pPr>
      <w:r>
        <w:t xml:space="preserve">Keep tubes on ice.</w:t>
      </w:r>
    </w:p>
    <w:p>
      <w:pPr>
        <w:numPr>
          <w:ilvl w:val="0"/>
          <w:numId w:val="1012"/>
        </w:numPr>
        <w:pStyle w:val="Compact"/>
      </w:pPr>
      <w:r>
        <w:t xml:space="preserve">Add 50 ng of circular DNA into E.coli cells. Incubate on ice for 20 min. to thaw competent cells.</w:t>
      </w:r>
    </w:p>
    <w:p>
      <w:pPr>
        <w:numPr>
          <w:ilvl w:val="0"/>
          <w:numId w:val="1012"/>
        </w:numPr>
        <w:pStyle w:val="Compact"/>
      </w:pPr>
      <w:r>
        <w:t xml:space="preserve">Put tubes with DNA and E.coli into water bath at</w:t>
      </w:r>
      <w:r>
        <w:t xml:space="preserve"> </w:t>
      </w:r>
      <m:oMath>
        <m:sSup>
          <m:e>
            <m:r>
              <m:t>42</m:t>
            </m:r>
          </m:e>
          <m:sup>
            <m:r>
              <m:t>o</m:t>
            </m:r>
          </m:sup>
        </m:sSup>
        <m:r>
          <m:t>C</m:t>
        </m:r>
      </m:oMath>
      <w:r>
        <w:t xml:space="preserve"> </w:t>
      </w:r>
      <w:r>
        <w:t xml:space="preserve">for 1.5 min.</w:t>
      </w:r>
    </w:p>
    <w:p>
      <w:pPr>
        <w:numPr>
          <w:ilvl w:val="0"/>
          <w:numId w:val="1012"/>
        </w:numPr>
        <w:pStyle w:val="Compact"/>
      </w:pPr>
      <w:r>
        <w:t xml:space="preserve">Put tubes back on ice for 5 minutes to reduce damage to the E.coli cells.</w:t>
      </w:r>
    </w:p>
    <w:p>
      <w:pPr>
        <w:numPr>
          <w:ilvl w:val="0"/>
          <w:numId w:val="1012"/>
        </w:numPr>
        <w:pStyle w:val="Compact"/>
      </w:pPr>
      <w:r>
        <w:t xml:space="preserve">Add 1 ml of LB (with no antibiotic added). Incubate tubes for 1 hour at</w:t>
      </w:r>
      <w:r>
        <w:t xml:space="preserve"> </w:t>
      </w:r>
      <m:oMath>
        <m:sSup>
          <m:e>
            <m:r>
              <m:t>37</m:t>
            </m:r>
          </m:e>
          <m:sup>
            <m:r>
              <m:t>o</m:t>
            </m:r>
          </m:sup>
        </m:sSup>
        <m:r>
          <m:t>C</m:t>
        </m:r>
      </m:oMath>
      <w:r>
        <w:t xml:space="preserve">. (Can incubate tubes for 30 minutes, unless trying to grow DNA for ligation which is more sensitive. For ligation, leave tubes for 1 hour).</w:t>
      </w:r>
    </w:p>
    <w:p>
      <w:pPr>
        <w:numPr>
          <w:ilvl w:val="0"/>
          <w:numId w:val="1012"/>
        </w:numPr>
        <w:pStyle w:val="Compact"/>
      </w:pPr>
      <w:r>
        <w:t xml:space="preserve">Spread about 100</w:t>
      </w:r>
      <w:r>
        <w:t xml:space="preserve"> </w:t>
      </w:r>
      <m:oMath>
        <m:r>
          <m:t>μ</m:t>
        </m:r>
        <m:r>
          <m:t>l</m:t>
        </m:r>
      </m:oMath>
      <w:r>
        <w:t xml:space="preserve"> </w:t>
      </w:r>
      <w:r>
        <w:t xml:space="preserve">of the resulting culture on LB plates (with appropriate antibiotic added). Grow overnight.</w:t>
      </w:r>
    </w:p>
    <w:p>
      <w:pPr>
        <w:numPr>
          <w:ilvl w:val="0"/>
          <w:numId w:val="1012"/>
        </w:numPr>
        <w:pStyle w:val="Compact"/>
      </w:pPr>
      <w:r>
        <w:t xml:space="preserve">Pick colonies about 12-16 hours later.</w:t>
      </w:r>
    </w:p>
    <w:bookmarkEnd w:id="108"/>
    <w:bookmarkStart w:id="109" w:name="ctab-protocol-porebski1997"/>
    <w:p>
      <w:pPr>
        <w:pStyle w:val="Heading2"/>
      </w:pPr>
      <w:r>
        <w:rPr>
          <w:rStyle w:val="SectionNumber"/>
        </w:rPr>
        <w:t xml:space="preserve">8.5</w:t>
      </w:r>
      <w:r>
        <w:tab/>
      </w:r>
      <w:r>
        <w:t xml:space="preserve">CTAB protocol</w:t>
      </w:r>
      <w:r>
        <w:t xml:space="preserve"> </w:t>
      </w:r>
      <w:r>
        <w:t xml:space="preserve">(Porebski et al. 1997)</w:t>
      </w:r>
    </w:p>
    <w:p>
      <w:pPr>
        <w:pStyle w:val="FirstParagraph"/>
      </w:pPr>
      <w:r>
        <w:t xml:space="preserve">Introduction:</w:t>
      </w:r>
    </w:p>
    <w:p>
      <w:pPr>
        <w:pStyle w:val="BodyText"/>
      </w:pPr>
      <w:r>
        <w:t xml:space="preserve">CTAB protocol for the isolating of DNA from plant tissues</w:t>
      </w:r>
    </w:p>
    <w:p>
      <w:pPr>
        <w:pStyle w:val="BodyText"/>
      </w:pPr>
      <w:r>
        <w:t xml:space="preserve">Materials:</w:t>
      </w:r>
    </w:p>
    <w:p>
      <w:pPr>
        <w:numPr>
          <w:ilvl w:val="0"/>
          <w:numId w:val="1013"/>
        </w:numPr>
        <w:pStyle w:val="Compact"/>
      </w:pPr>
      <w:r>
        <w:t xml:space="preserve">Liquid nitrogen</w:t>
      </w:r>
    </w:p>
    <w:p>
      <w:pPr>
        <w:numPr>
          <w:ilvl w:val="0"/>
          <w:numId w:val="1013"/>
        </w:numPr>
        <w:pStyle w:val="Compact"/>
      </w:pPr>
      <w:r>
        <w:t xml:space="preserve">Ice</w:t>
      </w:r>
    </w:p>
    <w:p>
      <w:pPr>
        <w:numPr>
          <w:ilvl w:val="0"/>
          <w:numId w:val="1013"/>
        </w:numPr>
        <w:pStyle w:val="Compact"/>
      </w:pPr>
      <w:r>
        <w:t xml:space="preserve">Pestles</w:t>
      </w:r>
    </w:p>
    <w:p>
      <w:pPr>
        <w:numPr>
          <w:ilvl w:val="0"/>
          <w:numId w:val="1013"/>
        </w:numPr>
        <w:pStyle w:val="Compact"/>
      </w:pPr>
      <w:r>
        <w:t xml:space="preserve">Stirer</w:t>
      </w:r>
    </w:p>
    <w:p>
      <w:pPr>
        <w:numPr>
          <w:ilvl w:val="0"/>
          <w:numId w:val="1013"/>
        </w:numPr>
        <w:pStyle w:val="Compact"/>
      </w:pPr>
      <m:oMath>
        <m:sSup>
          <m:e>
            <m:r>
              <m:t>65</m:t>
            </m:r>
          </m:e>
          <m:sup>
            <m:r>
              <m:t>o</m:t>
            </m:r>
          </m:sup>
        </m:sSup>
        <m:r>
          <m:t>C</m:t>
        </m:r>
      </m:oMath>
      <w:r>
        <w:t xml:space="preserve"> </w:t>
      </w:r>
      <w:r>
        <w:t xml:space="preserve">Bath</w:t>
      </w:r>
    </w:p>
    <w:p>
      <w:pPr>
        <w:numPr>
          <w:ilvl w:val="0"/>
          <w:numId w:val="1013"/>
        </w:numPr>
        <w:pStyle w:val="Compact"/>
      </w:pPr>
      <w:r>
        <w:t xml:space="preserve">Centrifuge</w:t>
      </w:r>
    </w:p>
    <w:p>
      <w:pPr>
        <w:numPr>
          <w:ilvl w:val="0"/>
          <w:numId w:val="1013"/>
        </w:numPr>
        <w:pStyle w:val="Compact"/>
      </w:pPr>
      <w:r>
        <w:t xml:space="preserve">CTAB buffer</w:t>
      </w:r>
    </w:p>
    <w:p>
      <w:pPr>
        <w:numPr>
          <w:ilvl w:val="0"/>
          <w:numId w:val="1013"/>
        </w:numPr>
        <w:pStyle w:val="Compact"/>
      </w:pPr>
      <w:r>
        <w:t xml:space="preserve">2% cetyl trimethylammonium bromide, 1% polyvinyl pyrrolidone,100 mM Tris-HCl, 1.4 M NaCl, 20 mM EDTA</w:t>
      </w:r>
    </w:p>
    <w:p>
      <w:pPr>
        <w:numPr>
          <w:ilvl w:val="0"/>
          <w:numId w:val="1013"/>
        </w:numPr>
        <w:pStyle w:val="Compact"/>
      </w:pPr>
      <w:r>
        <w:t xml:space="preserve">2-Mercaptoethanol</w:t>
      </w:r>
    </w:p>
    <w:p>
      <w:pPr>
        <w:numPr>
          <w:ilvl w:val="0"/>
          <w:numId w:val="1013"/>
        </w:numPr>
        <w:pStyle w:val="Compact"/>
      </w:pPr>
      <w:r>
        <w:t xml:space="preserve">Chloroform octanol (1:24)</w:t>
      </w:r>
    </w:p>
    <w:p>
      <w:pPr>
        <w:numPr>
          <w:ilvl w:val="0"/>
          <w:numId w:val="1013"/>
        </w:numPr>
        <w:pStyle w:val="Compact"/>
      </w:pPr>
      <w:r>
        <w:t xml:space="preserve">Sodium acetate (NaOAc)</w:t>
      </w:r>
    </w:p>
    <w:p>
      <w:pPr>
        <w:numPr>
          <w:ilvl w:val="0"/>
          <w:numId w:val="1013"/>
        </w:numPr>
        <w:pStyle w:val="Compact"/>
      </w:pPr>
      <w:r>
        <w:t xml:space="preserve">100% Ethanol</w:t>
      </w:r>
    </w:p>
    <w:p>
      <w:pPr>
        <w:numPr>
          <w:ilvl w:val="0"/>
          <w:numId w:val="1013"/>
        </w:numPr>
        <w:pStyle w:val="Compact"/>
      </w:pPr>
      <w:r>
        <w:t xml:space="preserve">70% Ethanol</w:t>
      </w:r>
    </w:p>
    <w:p>
      <w:pPr>
        <w:pStyle w:val="FirstParagraph"/>
      </w:pPr>
      <w:r>
        <w:t xml:space="preserve">Procedure:</w:t>
      </w:r>
    </w:p>
    <w:p>
      <w:pPr>
        <w:numPr>
          <w:ilvl w:val="0"/>
          <w:numId w:val="1014"/>
        </w:numPr>
        <w:pStyle w:val="Compact"/>
      </w:pPr>
      <w:r>
        <w:t xml:space="preserve">Grind ~200 mg of plant tissue to a fine paste.</w:t>
      </w:r>
    </w:p>
    <w:p>
      <w:pPr>
        <w:numPr>
          <w:ilvl w:val="0"/>
          <w:numId w:val="1014"/>
        </w:numPr>
        <w:pStyle w:val="Compact"/>
      </w:pPr>
      <w:r>
        <w:t xml:space="preserve">Add 700</w:t>
      </w:r>
      <w:r>
        <w:t xml:space="preserve"> </w:t>
      </w:r>
      <m:oMath>
        <m:r>
          <m:t>μ</m:t>
        </m:r>
        <m:r>
          <m:t>l</m:t>
        </m:r>
      </m:oMath>
      <w:r>
        <w:t xml:space="preserve"> </w:t>
      </w:r>
      <w:r>
        <w:t xml:space="preserve">CTAB buffer pre-heated to</w:t>
      </w:r>
      <w:r>
        <w:t xml:space="preserve"> </w:t>
      </w:r>
      <m:oMath>
        <m:sSup>
          <m:e>
            <m:r>
              <m:t>65</m:t>
            </m:r>
          </m:e>
          <m:sup>
            <m:r>
              <m:t>o</m:t>
            </m:r>
          </m:sup>
        </m:sSup>
        <m:r>
          <m:t>C</m:t>
        </m:r>
      </m:oMath>
      <w:r>
        <w:t xml:space="preserve"> </w:t>
      </w:r>
      <w:r>
        <w:t xml:space="preserve">+ 7</w:t>
      </w:r>
      <m:oMath>
        <m:r>
          <m:t>μ</m:t>
        </m:r>
        <m:r>
          <m:t>l</m:t>
        </m:r>
      </m:oMath>
      <w:r>
        <w:t xml:space="preserve"> </w:t>
      </w:r>
      <w:r>
        <w:t xml:space="preserve">2-Mercaptoethanol.</w:t>
      </w:r>
    </w:p>
    <w:p>
      <w:pPr>
        <w:numPr>
          <w:ilvl w:val="0"/>
          <w:numId w:val="1014"/>
        </w:numPr>
        <w:pStyle w:val="Compact"/>
      </w:pPr>
      <w:r>
        <w:t xml:space="preserve">Vortex.</w:t>
      </w:r>
    </w:p>
    <w:p>
      <w:pPr>
        <w:numPr>
          <w:ilvl w:val="0"/>
          <w:numId w:val="1014"/>
        </w:numPr>
        <w:pStyle w:val="Compact"/>
      </w:pPr>
      <w:r>
        <w:t xml:space="preserve">Incubation at</w:t>
      </w:r>
      <w:r>
        <w:t xml:space="preserve"> </w:t>
      </w:r>
      <m:oMath>
        <m:sSup>
          <m:e>
            <m:r>
              <m:t>65</m:t>
            </m:r>
          </m:e>
          <m:sup>
            <m:r>
              <m:t>o</m:t>
            </m:r>
          </m:sup>
        </m:sSup>
        <m:r>
          <m:t>C</m:t>
        </m:r>
      </m:oMath>
      <w:r>
        <w:t xml:space="preserve"> </w:t>
      </w:r>
      <w:r>
        <w:t xml:space="preserve">for 30 min (Vortex few times).</w:t>
      </w:r>
    </w:p>
    <w:p>
      <w:pPr>
        <w:numPr>
          <w:ilvl w:val="0"/>
          <w:numId w:val="1014"/>
        </w:numPr>
        <w:pStyle w:val="Compact"/>
      </w:pPr>
      <w:r>
        <w:t xml:space="preserve">Chill on ice.</w:t>
      </w:r>
    </w:p>
    <w:p>
      <w:pPr>
        <w:numPr>
          <w:ilvl w:val="0"/>
          <w:numId w:val="1014"/>
        </w:numPr>
        <w:pStyle w:val="Compact"/>
      </w:pPr>
      <w:r>
        <w:t xml:space="preserve">Add 700ul Chloroform octanol (1:24).</w:t>
      </w:r>
    </w:p>
    <w:p>
      <w:pPr>
        <w:numPr>
          <w:ilvl w:val="0"/>
          <w:numId w:val="1014"/>
        </w:numPr>
        <w:pStyle w:val="Compact"/>
      </w:pPr>
      <w:r>
        <w:t xml:space="preserve">Vortex.</w:t>
      </w:r>
    </w:p>
    <w:p>
      <w:pPr>
        <w:numPr>
          <w:ilvl w:val="0"/>
          <w:numId w:val="1014"/>
        </w:numPr>
        <w:pStyle w:val="Compact"/>
      </w:pPr>
      <w:r>
        <w:t xml:space="preserve">Centrifuge 5 min 14,000 rpm.</w:t>
      </w:r>
    </w:p>
    <w:p>
      <w:pPr>
        <w:numPr>
          <w:ilvl w:val="0"/>
          <w:numId w:val="1014"/>
        </w:numPr>
        <w:pStyle w:val="Compact"/>
      </w:pPr>
      <w:r>
        <w:t xml:space="preserve">Transfer the upper aqueous phase only (contains the DNA) to a clean tube (~550-600</w:t>
      </w:r>
      <w:r>
        <w:t xml:space="preserve"> </w:t>
      </w:r>
      <m:oMath>
        <m:r>
          <m:t>μ</m:t>
        </m:r>
        <m:r>
          <m:t>l</m:t>
        </m:r>
      </m:oMath>
      <w:r>
        <w:t xml:space="preserve">).</w:t>
      </w:r>
    </w:p>
    <w:p>
      <w:pPr>
        <w:numPr>
          <w:ilvl w:val="0"/>
          <w:numId w:val="1014"/>
        </w:numPr>
        <w:pStyle w:val="Compact"/>
      </w:pPr>
      <w:r>
        <w:t xml:space="preserve">Add 400</w:t>
      </w:r>
      <w:r>
        <w:t xml:space="preserve"> </w:t>
      </w:r>
      <m:oMath>
        <m:r>
          <m:t>μ</m:t>
        </m:r>
        <m:r>
          <m:t>l</m:t>
        </m:r>
      </m:oMath>
      <w:r>
        <w:t xml:space="preserve"> </w:t>
      </w:r>
      <w:r>
        <w:t xml:space="preserve">Chloroform octanol (1:24).</w:t>
      </w:r>
    </w:p>
    <w:p>
      <w:pPr>
        <w:numPr>
          <w:ilvl w:val="0"/>
          <w:numId w:val="1014"/>
        </w:numPr>
        <w:pStyle w:val="Compact"/>
      </w:pPr>
      <w:r>
        <w:t xml:space="preserve">Centrifuge 5 min 14,000 rpm.</w:t>
      </w:r>
    </w:p>
    <w:p>
      <w:pPr>
        <w:numPr>
          <w:ilvl w:val="0"/>
          <w:numId w:val="1014"/>
        </w:numPr>
        <w:pStyle w:val="Compact"/>
      </w:pPr>
      <w:r>
        <w:t xml:space="preserve">Transfer the upper aqueous phase only (contains the DNA) to a clean tube (~350</w:t>
      </w:r>
      <w:r>
        <w:t xml:space="preserve"> </w:t>
      </w:r>
      <m:oMath>
        <m:r>
          <m:t>μ</m:t>
        </m:r>
        <m:r>
          <m:t>l</m:t>
        </m:r>
      </m:oMath>
      <w:r>
        <w:t xml:space="preserve">).</w:t>
      </w:r>
    </w:p>
    <w:p>
      <w:pPr>
        <w:numPr>
          <w:ilvl w:val="0"/>
          <w:numId w:val="1014"/>
        </w:numPr>
        <w:pStyle w:val="Compact"/>
      </w:pPr>
      <w:r>
        <w:t xml:space="preserve">Add 35</w:t>
      </w:r>
      <w:r>
        <w:t xml:space="preserve"> </w:t>
      </w:r>
      <m:oMath>
        <m:r>
          <m:t>μ</m:t>
        </m:r>
        <m:r>
          <m:t>l</m:t>
        </m:r>
      </m:oMath>
      <w:r>
        <w:t xml:space="preserve"> </w:t>
      </w:r>
      <w:r>
        <w:t xml:space="preserve">Sodium acetate (NaOAc), (X0.1 of sample volume).</w:t>
      </w:r>
    </w:p>
    <w:p>
      <w:pPr>
        <w:numPr>
          <w:ilvl w:val="0"/>
          <w:numId w:val="1014"/>
        </w:numPr>
        <w:pStyle w:val="Compact"/>
      </w:pPr>
      <w:r>
        <w:t xml:space="preserve">Add 875</w:t>
      </w:r>
      <w:r>
        <w:t xml:space="preserve"> </w:t>
      </w:r>
      <m:oMath>
        <m:r>
          <m:t>μ</m:t>
        </m:r>
        <m:r>
          <m:t>l</m:t>
        </m:r>
      </m:oMath>
      <w:r>
        <w:t xml:space="preserve"> </w:t>
      </w:r>
      <w:r>
        <w:t xml:space="preserve">100% Ethanol, (X2.5 sample volume).</w:t>
      </w:r>
    </w:p>
    <w:p>
      <w:pPr>
        <w:numPr>
          <w:ilvl w:val="0"/>
          <w:numId w:val="1014"/>
        </w:numPr>
        <w:pStyle w:val="Compact"/>
      </w:pPr>
      <w:r>
        <w:t xml:space="preserve">Incubate at</w:t>
      </w:r>
      <w:r>
        <w:t xml:space="preserve"> </w:t>
      </w:r>
      <m:oMath>
        <m:r>
          <m:rPr>
            <m:sty m:val="p"/>
          </m:rPr>
          <m:t>−</m:t>
        </m:r>
        <m:sSup>
          <m:e>
            <m:r>
              <m:t>80</m:t>
            </m:r>
          </m:e>
          <m:sup>
            <m:r>
              <m:t>o</m:t>
            </m:r>
          </m:sup>
        </m:sSup>
        <m:r>
          <m:t>C</m:t>
        </m:r>
      </m:oMath>
      <w:r>
        <w:t xml:space="preserve"> </w:t>
      </w:r>
      <w:r>
        <w:t xml:space="preserve">for Hour/over night.</w:t>
      </w:r>
    </w:p>
    <w:p>
      <w:pPr>
        <w:numPr>
          <w:ilvl w:val="0"/>
          <w:numId w:val="1014"/>
        </w:numPr>
        <w:pStyle w:val="Compact"/>
      </w:pPr>
      <w:r>
        <w:t xml:space="preserve">Centrifuge 10 min 10,000 rpm.</w:t>
      </w:r>
    </w:p>
    <w:p>
      <w:pPr>
        <w:numPr>
          <w:ilvl w:val="0"/>
          <w:numId w:val="1014"/>
        </w:numPr>
        <w:pStyle w:val="Compact"/>
      </w:pPr>
      <w:r>
        <w:t xml:space="preserve">Remove the supernatant.</w:t>
      </w:r>
    </w:p>
    <w:p>
      <w:pPr>
        <w:numPr>
          <w:ilvl w:val="0"/>
          <w:numId w:val="1014"/>
        </w:numPr>
        <w:pStyle w:val="Compact"/>
      </w:pPr>
      <w:r>
        <w:t xml:space="preserve">Add 1 ml 70% Ethanol.</w:t>
      </w:r>
    </w:p>
    <w:p>
      <w:pPr>
        <w:numPr>
          <w:ilvl w:val="0"/>
          <w:numId w:val="1014"/>
        </w:numPr>
        <w:pStyle w:val="Compact"/>
      </w:pPr>
      <w:r>
        <w:t xml:space="preserve">Centrifuge 10 min 10,000 rpm.</w:t>
      </w:r>
    </w:p>
    <w:p>
      <w:pPr>
        <w:numPr>
          <w:ilvl w:val="0"/>
          <w:numId w:val="1014"/>
        </w:numPr>
        <w:pStyle w:val="Compact"/>
      </w:pPr>
      <w:r>
        <w:t xml:space="preserve">Remove the supernatant.</w:t>
      </w:r>
    </w:p>
    <w:p>
      <w:pPr>
        <w:numPr>
          <w:ilvl w:val="0"/>
          <w:numId w:val="1014"/>
        </w:numPr>
        <w:pStyle w:val="Compact"/>
      </w:pPr>
      <w:r>
        <w:t xml:space="preserve">Air dry the pellet, invert on paper towel.</w:t>
      </w:r>
    </w:p>
    <w:p>
      <w:pPr>
        <w:numPr>
          <w:ilvl w:val="0"/>
          <w:numId w:val="1014"/>
        </w:numPr>
        <w:pStyle w:val="Compact"/>
      </w:pPr>
      <w:r>
        <w:t xml:space="preserve">Resuspend the DNA in 50</w:t>
      </w:r>
      <w:r>
        <w:t xml:space="preserve"> </w:t>
      </w:r>
      <m:oMath>
        <m:r>
          <m:t>μ</m:t>
        </m:r>
        <m:r>
          <m:t>l</m:t>
        </m:r>
      </m:oMath>
      <w:r>
        <w:t xml:space="preserve"> </w:t>
      </w:r>
      <w:r>
        <w:t xml:space="preserve">sterile DNase free water.</w:t>
      </w:r>
    </w:p>
    <w:bookmarkEnd w:id="109"/>
    <w:bookmarkEnd w:id="110"/>
    <w:bookmarkStart w:id="153" w:name="references"/>
    <w:p>
      <w:pPr>
        <w:pStyle w:val="Heading1"/>
      </w:pPr>
      <w:r>
        <w:t xml:space="preserve">References</w:t>
      </w:r>
    </w:p>
    <w:bookmarkStart w:id="152" w:name="refs"/>
    <w:bookmarkStart w:id="111" w:name="ref-Barrangou1709"/>
    <w:p>
      <w:pPr>
        <w:pStyle w:val="Bibliography"/>
      </w:pPr>
      <w:r>
        <w:t xml:space="preserve">Barrangou R, Fremaux C, Deveau H, Richards M, Boyaval P, Moineau S, Romero DA, Horvath P. 2007.</w:t>
      </w:r>
      <w:r>
        <w:t xml:space="preserve"> </w:t>
      </w:r>
      <w:r>
        <w:t xml:space="preserve">CRISPR Provides Acquired Resistance Against Viruses in Prokaryotes</w:t>
      </w:r>
      <w:r>
        <w:t xml:space="preserve">. Science. 315:1709–1712.</w:t>
      </w:r>
    </w:p>
    <w:bookmarkEnd w:id="111"/>
    <w:bookmarkStart w:id="112" w:name="ref-Chandrasegaran1996"/>
    <w:p>
      <w:pPr>
        <w:pStyle w:val="Bibliography"/>
      </w:pPr>
      <w:r>
        <w:t xml:space="preserve">Chandrasegaran S, Kim YG, Cha J, Chandrasegaran S. 1996.</w:t>
      </w:r>
      <w:r>
        <w:t xml:space="preserve"> </w:t>
      </w:r>
      <w:r>
        <w:t xml:space="preserve">Hybrid restriction enzymes : Zinc finger fusions to Fok I cleavage domain</w:t>
      </w:r>
      <w:r>
        <w:t xml:space="preserve">. Proceedings of the National Academy of Sciences. 93:1156–1160.</w:t>
      </w:r>
    </w:p>
    <w:bookmarkEnd w:id="112"/>
    <w:bookmarkStart w:id="113" w:name="ref-Chang2017"/>
    <w:p>
      <w:pPr>
        <w:pStyle w:val="Bibliography"/>
      </w:pPr>
      <w:r>
        <w:t xml:space="preserve">Chang AY, Chau VW, Landas JA, Yvonne. 2017.</w:t>
      </w:r>
      <w:r>
        <w:t xml:space="preserve"> </w:t>
      </w:r>
      <w:r>
        <w:t xml:space="preserve">Preparation of calcium competent Escherichia coli and heat-shock transformation</w:t>
      </w:r>
      <w:r>
        <w:t xml:space="preserve">. Journal of Experimental Microbiology and Immunology (JEMI). 1:22–25.</w:t>
      </w:r>
    </w:p>
    <w:bookmarkEnd w:id="113"/>
    <w:bookmarkStart w:id="114" w:name="ref-Christian2010"/>
    <w:p>
      <w:pPr>
        <w:pStyle w:val="Bibliography"/>
      </w:pPr>
      <w:r>
        <w:t xml:space="preserve">Christian M, Cermak T, Doyle EL, Schmidt C, Zhang F, Hummel A, Bogdanove AJ, Voytas DF. 2010.</w:t>
      </w:r>
      <w:r>
        <w:t xml:space="preserve"> </w:t>
      </w:r>
      <w:r>
        <w:t xml:space="preserve">Targeting DNA double-strand breaks with TAL effector nucleases</w:t>
      </w:r>
      <w:r>
        <w:t xml:space="preserve">. Genetics. 186:756–761.</w:t>
      </w:r>
    </w:p>
    <w:bookmarkEnd w:id="114"/>
    <w:bookmarkStart w:id="115" w:name="ref-Cermak2017"/>
    <w:p>
      <w:pPr>
        <w:pStyle w:val="Bibliography"/>
      </w:pPr>
      <w:r>
        <w:t xml:space="preserve">Čermák T, Curtin SJ, Gil-Humanes J, Čegan R, Kono TJY, Belanto JJ, Starker CG, Mathre JW, Greenstein RL, Daniel F, et al. 2017.</w:t>
      </w:r>
      <w:r>
        <w:t xml:space="preserve"> </w:t>
      </w:r>
      <w:r>
        <w:t xml:space="preserve">A multipurpose toolkit to enable advanced genome engineering in plants</w:t>
      </w:r>
      <w:r>
        <w:t xml:space="preserve">. Plant Cell. 29:1196–1217.</w:t>
      </w:r>
    </w:p>
    <w:bookmarkEnd w:id="115"/>
    <w:bookmarkStart w:id="116" w:name="ref-davey2005plant"/>
    <w:p>
      <w:pPr>
        <w:pStyle w:val="Bibliography"/>
      </w:pPr>
      <w:r>
        <w:t xml:space="preserve">Davey MR, Anthony P, Power JB, Lowe KC. 2005.</w:t>
      </w:r>
      <w:r>
        <w:t xml:space="preserve"> </w:t>
      </w:r>
      <w:r>
        <w:t xml:space="preserve">Plant protoplasts: Status and biotechnological perspectives</w:t>
      </w:r>
      <w:r>
        <w:t xml:space="preserve">. Biotechnology Advances. 23:131–171.</w:t>
      </w:r>
    </w:p>
    <w:bookmarkEnd w:id="116"/>
    <w:bookmarkStart w:id="117" w:name="ref-DelDuca2019"/>
    <w:p>
      <w:pPr>
        <w:pStyle w:val="Bibliography"/>
      </w:pPr>
      <w:r>
        <w:t xml:space="preserve">Del Duca S, Aloisi I, Parrotta L, Cai G. 2019.</w:t>
      </w:r>
      <w:r>
        <w:t xml:space="preserve"> </w:t>
      </w:r>
      <w:r>
        <w:t xml:space="preserve">Cytoskeleton, transglutaminase and gametophytic self-incompatibility in the Malinae (Rosaceae)</w:t>
      </w:r>
      <w:r>
        <w:t xml:space="preserve">. International Journal of Molecular Sciences. 20:1–11.</w:t>
      </w:r>
    </w:p>
    <w:bookmarkEnd w:id="117"/>
    <w:bookmarkStart w:id="118" w:name="ref-Enciso-Rodriguez2019"/>
    <w:p>
      <w:pPr>
        <w:pStyle w:val="Bibliography"/>
      </w:pPr>
      <w:r>
        <w:t xml:space="preserve">Enciso-Rodriguez F, Manrique-Carpintero NC, Nadakuduti SS, Buell CR, Zarka D, Douches D. 2019.</w:t>
      </w:r>
      <w:r>
        <w:t xml:space="preserve"> </w:t>
      </w:r>
      <w:r>
        <w:t xml:space="preserve">Overcoming self-incompatibility in diploid potato using CRISPR-cas9</w:t>
      </w:r>
      <w:r>
        <w:t xml:space="preserve">. Frontiers in Plant Science. 10:1–12.</w:t>
      </w:r>
    </w:p>
    <w:bookmarkEnd w:id="118"/>
    <w:bookmarkStart w:id="119" w:name="ref-Ericksen2009"/>
    <w:p>
      <w:pPr>
        <w:pStyle w:val="Bibliography"/>
      </w:pPr>
      <w:r>
        <w:t xml:space="preserve">Ericksen PJ, Ingram JSI, Liverman DM. 2009.</w:t>
      </w:r>
      <w:r>
        <w:t xml:space="preserve"> </w:t>
      </w:r>
      <w:r>
        <w:t xml:space="preserve">Food security and global environmental change: emerging challenges</w:t>
      </w:r>
      <w:r>
        <w:t xml:space="preserve">. Environmental Science and Policy. 12:373–377.</w:t>
      </w:r>
    </w:p>
    <w:bookmarkEnd w:id="119"/>
    <w:bookmarkStart w:id="120" w:name="ref-FAO2011"/>
    <w:p>
      <w:pPr>
        <w:pStyle w:val="Bibliography"/>
      </w:pPr>
      <w:r>
        <w:t xml:space="preserve">FAO. 2011.</w:t>
      </w:r>
      <w:r>
        <w:t xml:space="preserve"> </w:t>
      </w:r>
      <w:r>
        <w:t xml:space="preserve">in the 21 st Century</w:t>
      </w:r>
      <w:r>
        <w:t xml:space="preserve">. [place unknown].</w:t>
      </w:r>
    </w:p>
    <w:bookmarkEnd w:id="120"/>
    <w:bookmarkStart w:id="121" w:name="ref-FAO2020a"/>
    <w:p>
      <w:pPr>
        <w:pStyle w:val="Bibliography"/>
      </w:pPr>
      <w:r>
        <w:t xml:space="preserve">FAO. 2020.</w:t>
      </w:r>
      <w:r>
        <w:t xml:space="preserve"> </w:t>
      </w:r>
      <w:r>
        <w:t xml:space="preserve">Food Security and Nutrition in the World. Transofrmin food systems for affordable healthy diets</w:t>
      </w:r>
      <w:r>
        <w:t xml:space="preserve">. [place unknown].</w:t>
      </w:r>
    </w:p>
    <w:bookmarkEnd w:id="121"/>
    <w:bookmarkStart w:id="122" w:name="ref-Garrity2010"/>
    <w:p>
      <w:pPr>
        <w:pStyle w:val="Bibliography"/>
      </w:pPr>
      <w:r>
        <w:t xml:space="preserve">Garrity DP, Akinnifesi FK, Ajayi OC, Weldesemayat SG, Mowo JG, Kalinganire A, Larwanou M, Bayala J. 2010.</w:t>
      </w:r>
      <w:r>
        <w:t xml:space="preserve"> </w:t>
      </w:r>
      <w:r>
        <w:t xml:space="preserve">Evergreen Agriculture: A robust approach to sustainable food security in Africa</w:t>
      </w:r>
      <w:r>
        <w:t xml:space="preserve">. Food Security. 2:197–214.</w:t>
      </w:r>
    </w:p>
    <w:bookmarkEnd w:id="122"/>
    <w:bookmarkStart w:id="123" w:name="ref-GasiunasE2579"/>
    <w:p>
      <w:pPr>
        <w:pStyle w:val="Bibliography"/>
      </w:pPr>
      <w:r>
        <w:t xml:space="preserve">Gasiunas G, Barrangou R, Horvath P, Siksnys V. 2012.</w:t>
      </w:r>
      <w:r>
        <w:t xml:space="preserve"> </w:t>
      </w:r>
      <w:r>
        <w:t xml:space="preserve">Cas9 crRNA ribonucleoprotein complex mediates specific DNA cleavage for adaptive immunity in bacteria</w:t>
      </w:r>
      <w:r>
        <w:t xml:space="preserve">. Proceedings of the National Academy of Sciences. 109:E2579—–E2586.</w:t>
      </w:r>
    </w:p>
    <w:bookmarkEnd w:id="123"/>
    <w:bookmarkStart w:id="124" w:name="ref-Gibson2009"/>
    <w:p>
      <w:pPr>
        <w:pStyle w:val="Bibliography"/>
      </w:pPr>
      <w:r>
        <w:t xml:space="preserve">Gibson DG, Young L, Chuang RY, Venter JC, Hutchison CA, Smith HO. 2009.</w:t>
      </w:r>
      <w:r>
        <w:t xml:space="preserve"> </w:t>
      </w:r>
      <w:r>
        <w:t xml:space="preserve">Enzymatic assembly of DNA molecules up to several hundred kilobases</w:t>
      </w:r>
      <w:r>
        <w:t xml:space="preserve">. Nature Methods. 6:343–345.</w:t>
      </w:r>
    </w:p>
    <w:bookmarkEnd w:id="124"/>
    <w:bookmarkStart w:id="125" w:name="ref-Grigoriev2012"/>
    <w:p>
      <w:pPr>
        <w:pStyle w:val="Bibliography"/>
      </w:pPr>
      <w:r>
        <w:t xml:space="preserve">Grigoriev IV, Nordberg H, Shabalov I, Aerts A, Cantor M, Goodstein D, Kuo A, Minovitsky S, Nikitin R, Ohm RA, et al. 2012.</w:t>
      </w:r>
      <w:r>
        <w:t xml:space="preserve"> </w:t>
      </w:r>
      <w:r>
        <w:t xml:space="preserve">The Genome Portal of the Department of Energy Joint Genome Institute</w:t>
      </w:r>
      <w:r>
        <w:t xml:space="preserve">. Nucleic Acids Research. 40:26–32.</w:t>
      </w:r>
    </w:p>
    <w:bookmarkEnd w:id="125"/>
    <w:bookmarkStart w:id="126" w:name="ref-Rosenzweig2001"/>
    <w:p>
      <w:pPr>
        <w:pStyle w:val="Bibliography"/>
      </w:pPr>
      <w:r>
        <w:t xml:space="preserve">Iglesius A, Epstein PR, Chivian E, Rosenzweig C, Iglesias A, Yang XB, Epstein PR, Chivian E. 2001.</w:t>
      </w:r>
      <w:r>
        <w:t xml:space="preserve"> </w:t>
      </w:r>
      <w:r>
        <w:t xml:space="preserve">Implications for food production, plant diseases, and pests</w:t>
      </w:r>
      <w:r>
        <w:t xml:space="preserve">. Global Change and Human Health. 2:90–104.</w:t>
      </w:r>
    </w:p>
    <w:bookmarkEnd w:id="126"/>
    <w:bookmarkStart w:id="127" w:name="ref-Indra1972"/>
    <w:p>
      <w:pPr>
        <w:pStyle w:val="Bibliography"/>
      </w:pPr>
      <w:r>
        <w:t xml:space="preserve">Indra K, Vimla V. 1972.</w:t>
      </w:r>
      <w:r>
        <w:t xml:space="preserve"> </w:t>
      </w:r>
      <w:r>
        <w:t xml:space="preserve">Totipotecy and embryogenesis in plant cell and tissue cultures</w:t>
      </w:r>
      <w:r>
        <w:t xml:space="preserve">. In vitro. 8.</w:t>
      </w:r>
    </w:p>
    <w:bookmarkEnd w:id="127"/>
    <w:bookmarkStart w:id="128" w:name="ref-Jinek2012"/>
    <w:p>
      <w:pPr>
        <w:pStyle w:val="Bibliography"/>
      </w:pPr>
      <w:r>
        <w:t xml:space="preserve">Jinek M, Chylinski K, Fonfara I, Hauer M, Doudna JA, Charpentier E. 2012.</w:t>
      </w:r>
      <w:r>
        <w:t xml:space="preserve"> </w:t>
      </w:r>
      <w:r>
        <w:t xml:space="preserve">A programmable dual-RNA-guided DNA endonuclease in adaptive bacterial immunity</w:t>
      </w:r>
      <w:r>
        <w:t xml:space="preserve">. Science. 337:816–821.</w:t>
      </w:r>
    </w:p>
    <w:bookmarkEnd w:id="128"/>
    <w:bookmarkStart w:id="129" w:name="ref-Kaeppler2000"/>
    <w:p>
      <w:pPr>
        <w:pStyle w:val="Bibliography"/>
      </w:pPr>
      <w:r>
        <w:t xml:space="preserve">Kaeppler SM, Kaeppler HF, Rhee Y. 2000.</w:t>
      </w:r>
      <w:r>
        <w:t xml:space="preserve"> </w:t>
      </w:r>
      <w:r>
        <w:t xml:space="preserve">Epigenetic aspects of somaclonal variation in plants</w:t>
      </w:r>
      <w:r>
        <w:t xml:space="preserve">. Plant Molecular Biology. 43:179–188.</w:t>
      </w:r>
    </w:p>
    <w:bookmarkEnd w:id="129"/>
    <w:bookmarkStart w:id="130" w:name="ref-Linden2015"/>
    <w:p>
      <w:pPr>
        <w:pStyle w:val="Bibliography"/>
      </w:pPr>
      <w:r>
        <w:t xml:space="preserve">Linden PVD, Office M. 2015.</w:t>
      </w:r>
      <w:r>
        <w:t xml:space="preserve"> </w:t>
      </w:r>
      <w:r>
        <w:t xml:space="preserve">Climate Change 2007 : Impacts , Adaptation and Vulnerability INTERGOVERNMENTAL PANEL ON CLIMATE CHANGE Climate Change 2007 : Impacts , Adaptation and Vulnerability Working Group II Contribution to the Intergovernmental Panel on Climate Change Summary for</w:t>
      </w:r>
      <w:r>
        <w:t xml:space="preserve"> </w:t>
      </w:r>
      <w:r>
        <w:t xml:space="preserve">.</w:t>
      </w:r>
    </w:p>
    <w:bookmarkEnd w:id="130"/>
    <w:bookmarkStart w:id="131" w:name="ref-Liu2018a"/>
    <w:p>
      <w:pPr>
        <w:pStyle w:val="Bibliography"/>
      </w:pPr>
      <w:r>
        <w:t xml:space="preserve">Liu B, Zhang J, Yang Z, Matsui A, Seki M, Li S, Yan X, Kohnen MV, Gu L, Prasad K, et al. 2018.</w:t>
      </w:r>
      <w:r>
        <w:t xml:space="preserve"> </w:t>
      </w:r>
      <w:r>
        <w:t xml:space="preserve">PtWOX11 acts as master regulator conducting the expression of key transcription factors to induce de novo shoot organogenesis in poplar</w:t>
      </w:r>
      <w:r>
        <w:t xml:space="preserve">. Plant Molecular Biology. 98:389–406.</w:t>
      </w:r>
    </w:p>
    <w:bookmarkEnd w:id="131"/>
    <w:bookmarkStart w:id="132" w:name="ref-Maher2020"/>
    <w:p>
      <w:pPr>
        <w:pStyle w:val="Bibliography"/>
      </w:pPr>
      <w:r>
        <w:t xml:space="preserve">Maher MF, Nasti RA, Vollbrecht M, Starker CG, Clark MD, Voytas DF. 2020.</w:t>
      </w:r>
      <w:r>
        <w:t xml:space="preserve"> </w:t>
      </w:r>
      <w:r>
        <w:t xml:space="preserve">Plant gene editing through de novo induction of meristems</w:t>
      </w:r>
      <w:r>
        <w:t xml:space="preserve">. Nature Biotechnology. 38:84–89.</w:t>
      </w:r>
    </w:p>
    <w:bookmarkEnd w:id="132"/>
    <w:bookmarkStart w:id="133" w:name="ref-Mukeshimana2013"/>
    <w:p>
      <w:pPr>
        <w:pStyle w:val="Bibliography"/>
      </w:pPr>
      <w:r>
        <w:t xml:space="preserve">Mukeshimana G, Ma Y, Walworth AE, Song G qing, Kelly JD, Song G qing, Kelly JD. 2013.</w:t>
      </w:r>
      <w:r>
        <w:t xml:space="preserve"> </w:t>
      </w:r>
      <w:r>
        <w:t xml:space="preserve">Factors influencing regeneration and Agrobacterium tumefaciens-mediated transformation of common bean (Phaseolus vulgaris L.)</w:t>
      </w:r>
      <w:r>
        <w:t xml:space="preserve">. Plant Biotechnology Reports. 7:59–70.</w:t>
      </w:r>
    </w:p>
    <w:bookmarkEnd w:id="133"/>
    <w:bookmarkStart w:id="134" w:name="ref-OBrien2011"/>
    <w:p>
      <w:pPr>
        <w:pStyle w:val="Bibliography"/>
      </w:pPr>
      <w:r>
        <w:t xml:space="preserve">O’Brien JA, Lummis SCR. 2011.</w:t>
      </w:r>
      <w:r>
        <w:t xml:space="preserve"> </w:t>
      </w:r>
      <w:r>
        <w:t xml:space="preserve">Nano-biolistics: A method of biolistic transfection of cells and tissues using a gene gun with novel nanometer-sized projectiles</w:t>
      </w:r>
      <w:r>
        <w:t xml:space="preserve">. 11.</w:t>
      </w:r>
    </w:p>
    <w:bookmarkEnd w:id="134"/>
    <w:bookmarkStart w:id="135" w:name="ref-Porebski1997"/>
    <w:p>
      <w:pPr>
        <w:pStyle w:val="Bibliography"/>
      </w:pPr>
      <w:r>
        <w:t xml:space="preserve">Porebski S, Bailey LG, Baum BR. 1997.</w:t>
      </w:r>
      <w:r>
        <w:t xml:space="preserve"> </w:t>
      </w:r>
      <w:r>
        <w:t xml:space="preserve">Modification of a CTAB DNA extraction protocol for plants containing high polysaccharide and polyphenol components</w:t>
      </w:r>
      <w:r>
        <w:t xml:space="preserve">. Plant Molecular Biology Reporter. 15:8–15.</w:t>
      </w:r>
    </w:p>
    <w:bookmarkEnd w:id="135"/>
    <w:bookmarkStart w:id="136" w:name="ref-Qaim2013"/>
    <w:p>
      <w:pPr>
        <w:pStyle w:val="Bibliography"/>
      </w:pPr>
      <w:r>
        <w:t xml:space="preserve">Qaim M, Kouser S. 2013.</w:t>
      </w:r>
      <w:r>
        <w:t xml:space="preserve"> </w:t>
      </w:r>
      <w:r>
        <w:t xml:space="preserve">Genetically Modified Crops and Food Security</w:t>
      </w:r>
      <w:r>
        <w:t xml:space="preserve">. PLoS ONE. 8:1–7.</w:t>
      </w:r>
    </w:p>
    <w:bookmarkEnd w:id="136"/>
    <w:bookmarkStart w:id="137" w:name="ref-Rakoczy-Trojanowska2002"/>
    <w:p>
      <w:pPr>
        <w:pStyle w:val="Bibliography"/>
      </w:pPr>
      <w:r>
        <w:t xml:space="preserve">Rakoczy-Trojanowska M. 2002.</w:t>
      </w:r>
      <w:r>
        <w:t xml:space="preserve"> </w:t>
      </w:r>
      <w:r>
        <w:t xml:space="preserve">Alternative methods of plant transformation - A short review</w:t>
      </w:r>
      <w:r>
        <w:t xml:space="preserve">. Cellular and Molecular Biology Letters. 7:849–858.</w:t>
      </w:r>
    </w:p>
    <w:bookmarkEnd w:id="137"/>
    <w:bookmarkStart w:id="139" w:name="ref-Rasmussen2017"/>
    <w:p>
      <w:pPr>
        <w:pStyle w:val="Bibliography"/>
      </w:pPr>
      <w:r>
        <w:t xml:space="preserve">Rasmussen SK, Kumar Mall T, Duraialagaraja S, Agrawal PK, Yadava P, Abhishek A, Singh R, Singh I, Kaul T, Pattanayak A. 2017.</w:t>
      </w:r>
      <w:r>
        <w:t xml:space="preserve"> </w:t>
      </w:r>
      <w:r>
        <w:t xml:space="preserve">Advances in Maize Transformation Technologies and Development of Transgenic Maize</w:t>
      </w:r>
      <w:r>
        <w:t xml:space="preserve">. Front Plant Sci [Internet]. 7:1949. Available from:</w:t>
      </w:r>
      <w:r>
        <w:t xml:space="preserve"> </w:t>
      </w:r>
      <w:hyperlink r:id="rId138">
        <w:r>
          <w:rPr>
            <w:rStyle w:val="Hyperlink"/>
          </w:rPr>
          <w:t xml:space="preserve">www.frontiersin.org</w:t>
        </w:r>
      </w:hyperlink>
    </w:p>
    <w:bookmarkEnd w:id="139"/>
    <w:bookmarkStart w:id="140" w:name="ref-Schouten2007"/>
    <w:p>
      <w:pPr>
        <w:pStyle w:val="Bibliography"/>
      </w:pPr>
      <w:r>
        <w:t xml:space="preserve">Schouten HJ, Jacobsen E. 2007.</w:t>
      </w:r>
      <w:r>
        <w:t xml:space="preserve"> </w:t>
      </w:r>
      <w:r>
        <w:t xml:space="preserve">Are mutations in genetically modified plants dangerous?</w:t>
      </w:r>
      <w:r>
        <w:t xml:space="preserve"> Journal of Biomedicine and Biotechnology. 2007:2–4.</w:t>
      </w:r>
    </w:p>
    <w:bookmarkEnd w:id="140"/>
    <w:bookmarkStart w:id="141" w:name="ref-Shalem84"/>
    <w:p>
      <w:pPr>
        <w:pStyle w:val="Bibliography"/>
      </w:pPr>
      <w:r>
        <w:t xml:space="preserve">Shalem O, Sanjana NE, Hartenian E, Shi X, Scott DA, Mikkelsen TS, Heckl D, Ebert BL, Root DE, Doench JG, Zhang F. 2014.</w:t>
      </w:r>
      <w:r>
        <w:t xml:space="preserve"> </w:t>
      </w:r>
      <w:r>
        <w:t xml:space="preserve">Genome-Scale CRISPR-Cas9 Knockout Screening in Human Cells</w:t>
      </w:r>
      <w:r>
        <w:t xml:space="preserve">. Science. 343:84–87.</w:t>
      </w:r>
    </w:p>
    <w:bookmarkEnd w:id="141"/>
    <w:bookmarkStart w:id="142" w:name="ref-Shewry2008149"/>
    <w:p>
      <w:pPr>
        <w:pStyle w:val="Bibliography"/>
      </w:pPr>
      <w:r>
        <w:t xml:space="preserve">Shewry PR, Jones HD, Halford NG. 2008.</w:t>
      </w:r>
      <w:r>
        <w:t xml:space="preserve"> </w:t>
      </w:r>
      <w:r>
        <w:t xml:space="preserve">Plant biotechnology: Transgenic crops</w:t>
      </w:r>
      <w:r>
        <w:t xml:space="preserve">. Advances in Biochemical Engineering/Biotechnology. 111:149–186.</w:t>
      </w:r>
    </w:p>
    <w:bookmarkEnd w:id="142"/>
    <w:bookmarkStart w:id="144" w:name="ref-Shiferaw2014"/>
    <w:p>
      <w:pPr>
        <w:pStyle w:val="Bibliography"/>
      </w:pPr>
      <w:r>
        <w:t xml:space="preserve">Shiferaw B, Tesfaye K, Kassie M, Abate T, Prasanna BM, Menkir A. 2014.</w:t>
      </w:r>
      <w:r>
        <w:t xml:space="preserve"> </w:t>
      </w:r>
      <w:r>
        <w:t xml:space="preserve">Managing vulnerability to drought and enhancing livelihood resilience in sub-Saharan Africa: Technological, institutional and policy options</w:t>
      </w:r>
      <w:r>
        <w:t xml:space="preserve">. Weather and Climate Extremes [Internet]. 3:67–79. Available from:</w:t>
      </w:r>
      <w:r>
        <w:t xml:space="preserve"> </w:t>
      </w:r>
      <w:hyperlink r:id="rId143">
        <w:r>
          <w:rPr>
            <w:rStyle w:val="Hyperlink"/>
          </w:rPr>
          <w:t xml:space="preserve">http://dx.doi.org/10.1016/j.wace.2014.04.004</w:t>
        </w:r>
      </w:hyperlink>
    </w:p>
    <w:bookmarkEnd w:id="144"/>
    <w:bookmarkStart w:id="145" w:name="ref-Taylor2002"/>
    <w:p>
      <w:pPr>
        <w:pStyle w:val="Bibliography"/>
      </w:pPr>
      <w:r>
        <w:t xml:space="preserve">Taylor G. 2002.</w:t>
      </w:r>
      <w:r>
        <w:t xml:space="preserve"> </w:t>
      </w:r>
      <w:r>
        <w:t xml:space="preserve">Populus: Arabidopsis for forestry. Do we need a model tree?</w:t>
      </w:r>
      <w:r>
        <w:t xml:space="preserve"> Annals of Botany. 90:681–689.</w:t>
      </w:r>
    </w:p>
    <w:bookmarkEnd w:id="145"/>
    <w:bookmarkStart w:id="146" w:name="ref-TesterMarkandLangridge2010"/>
    <w:p>
      <w:pPr>
        <w:pStyle w:val="Bibliography"/>
      </w:pPr>
      <w:r>
        <w:t xml:space="preserve">Tester, Mark and Langridge P. 2010.</w:t>
      </w:r>
      <w:r>
        <w:t xml:space="preserve"> </w:t>
      </w:r>
      <w:r>
        <w:t xml:space="preserve">Breeding Technologies to Increase</w:t>
      </w:r>
      <w:r>
        <w:t xml:space="preserve">. Science. 818:818–822.</w:t>
      </w:r>
    </w:p>
    <w:bookmarkEnd w:id="146"/>
    <w:bookmarkStart w:id="147" w:name="ref-Tvorogova2021"/>
    <w:p>
      <w:pPr>
        <w:pStyle w:val="Bibliography"/>
      </w:pPr>
      <w:r>
        <w:t xml:space="preserve">Tvorogova VE, Krasnoperova EY, Potsenkovskaia EA, Kudriashov AA, Dodueva IE, Lutova LA. 2021.</w:t>
      </w:r>
      <w:r>
        <w:t xml:space="preserve"> </w:t>
      </w:r>
      <w:r>
        <w:t xml:space="preserve">What Does the WOX Say? Review of Regulators, Targets, Partners</w:t>
      </w:r>
      <w:r>
        <w:t xml:space="preserve">. Molecular Biology.</w:t>
      </w:r>
    </w:p>
    <w:bookmarkEnd w:id="147"/>
    <w:bookmarkStart w:id="148" w:name="ref-Undervisningsministeriet2014"/>
    <w:p>
      <w:pPr>
        <w:pStyle w:val="Bibliography"/>
      </w:pPr>
      <w:r>
        <w:t xml:space="preserve">Undervisningsministeriet. 2014.</w:t>
      </w:r>
      <w:r>
        <w:t xml:space="preserve"> </w:t>
      </w:r>
      <w:r>
        <w:t xml:space="preserve">Enhanced Reader.pdf</w:t>
      </w:r>
      <w:r>
        <w:t xml:space="preserve">. :1.</w:t>
      </w:r>
    </w:p>
    <w:bookmarkEnd w:id="148"/>
    <w:bookmarkStart w:id="149" w:name="ref-Vinceti2013"/>
    <w:p>
      <w:pPr>
        <w:pStyle w:val="Bibliography"/>
      </w:pPr>
      <w:r>
        <w:t xml:space="preserve">Vinceti B, Termote C, Ickowitz A, Powell B, Kehlenbeck K, Hunter D. 2013.</w:t>
      </w:r>
      <w:r>
        <w:t xml:space="preserve"> </w:t>
      </w:r>
      <w:r>
        <w:t xml:space="preserve">The contribution of forests and trees to sustainable diets</w:t>
      </w:r>
      <w:r>
        <w:t xml:space="preserve">. Sustainability (Switzerland). 5:4797–4824.</w:t>
      </w:r>
    </w:p>
    <w:bookmarkEnd w:id="149"/>
    <w:bookmarkStart w:id="150" w:name="ref-Zhang2006"/>
    <w:p>
      <w:pPr>
        <w:pStyle w:val="Bibliography"/>
      </w:pPr>
      <w:r>
        <w:t xml:space="preserve">Zhang X, Henriques R, Lin SS, Niu QW, Chua NH. 2006.</w:t>
      </w:r>
      <w:r>
        <w:t xml:space="preserve"> </w:t>
      </w:r>
      <w:r>
        <w:t xml:space="preserve">Agrobacterium-mediated transformation of Arabidopsis thaliana using the floral dip method</w:t>
      </w:r>
      <w:r>
        <w:t xml:space="preserve">. Nature Protocols. 1:641–646.</w:t>
      </w:r>
    </w:p>
    <w:bookmarkEnd w:id="150"/>
    <w:bookmarkStart w:id="151" w:name="ref-Zhang2017"/>
    <w:p>
      <w:pPr>
        <w:pStyle w:val="Bibliography"/>
      </w:pPr>
      <w:r>
        <w:t xml:space="preserve">Zhang Y yan, Zhang D min, Zhong Y, Chang X jun, Hu M lun, Cheng C zhen. 2017.</w:t>
      </w:r>
      <w:r>
        <w:t xml:space="preserve"> </w:t>
      </w:r>
      <w:r>
        <w:t xml:space="preserve">A simple and efficient in planta transformation method for pommelo (Citrus maxima) using Agrobacterium tumefaciens</w:t>
      </w:r>
      <w:r>
        <w:t xml:space="preserve">. Scientia Horticulturae. 214:174–179.</w:t>
      </w:r>
    </w:p>
    <w:bookmarkEnd w:id="151"/>
    <w:bookmarkEnd w:id="152"/>
    <w:bookmarkEnd w:id="15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1">
    <w:abstractNumId w:val="991"/>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90"/>
  <w:embedSystemFonts/>
  <w:proofState w:grammar="clean" w:spelling="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accent1="accent1" w:accent2="accent2" w:accent3="accent3" w:accent4="accent4" w:accent5="accent5" w:accent6="accent6" w:bg1="light1" w:bg2="light2" w:followedHyperlink="followedHyperlink" w:hyperlink="hyperlink" w:t1="dark1" w:t2="dark2"/>
  <w:decimalSymbol w:val="."/>
  <w:listSeparator w:val=","/>
  <w:proofState w:grammar="clean" w:spelling="clean"/>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89" Target="media/rId89.png" /><Relationship Type="http://schemas.openxmlformats.org/officeDocument/2006/relationships/image" Id="rId32" Target="media/rId32.png" /><Relationship Type="http://schemas.openxmlformats.org/officeDocument/2006/relationships/image" Id="rId91" Target="media/rId91.png" /><Relationship Type="http://schemas.openxmlformats.org/officeDocument/2006/relationships/image" Id="rId104" Target="media/rId104.png" /><Relationship Type="http://schemas.openxmlformats.org/officeDocument/2006/relationships/image" Id="rId84" Target="media/rId84.png" /><Relationship Type="http://schemas.openxmlformats.org/officeDocument/2006/relationships/image" Id="rId82" Target="media/rId82.jpg" /><Relationship Type="http://schemas.openxmlformats.org/officeDocument/2006/relationships/image" Id="rId93" Target="media/rId93.png" /><Relationship Type="http://schemas.openxmlformats.org/officeDocument/2006/relationships/image" Id="rId63" Target="media/rId63.png" /><Relationship Type="http://schemas.openxmlformats.org/officeDocument/2006/relationships/image" Id="rId61" Target="media/rId61.png" /><Relationship Type="http://schemas.openxmlformats.org/officeDocument/2006/relationships/image" Id="rId81" Target="media/rId81.png" /><Relationship Type="http://schemas.openxmlformats.org/officeDocument/2006/relationships/hyperlink" Id="rId143" Target="http://dx.doi.org/10.1016/j.wace.2014.04.004" TargetMode="External" /><Relationship Type="http://schemas.openxmlformats.org/officeDocument/2006/relationships/hyperlink" Id="rId48" Target="http://schepartzlab.yale.edu/intranet/protocols/AgaroseGelElectrophores.pdf" TargetMode="External" /><Relationship Type="http://schemas.openxmlformats.org/officeDocument/2006/relationships/hyperlink" Id="rId47" Target="https://blog.addgene.org/plasmids-101-golden-gate-cloning" TargetMode="External" /><Relationship Type="http://schemas.openxmlformats.org/officeDocument/2006/relationships/hyperlink" Id="rId66" Target="https://dna.macrogen-europe.com/eng/index.jsp" TargetMode="External" /><Relationship Type="http://schemas.openxmlformats.org/officeDocument/2006/relationships/hyperlink" Id="rId98" Target="https://genome.jgi.doe.gov/portal/PoptreSequencing_FD/PoptreSequencing_FD.info.html" TargetMode="External" /><Relationship Type="http://schemas.openxmlformats.org/officeDocument/2006/relationships/hyperlink" Id="rId75" Target="https://github.com/BenSiv/PopAT-expression-analysis" TargetMode="External" /><Relationship Type="http://schemas.openxmlformats.org/officeDocument/2006/relationships/hyperlink" Id="rId73" Target="https://github.com/OpenGene/fastp" TargetMode="External" /><Relationship Type="http://schemas.openxmlformats.org/officeDocument/2006/relationships/hyperlink" Id="rId101" Target="https://htmlpreview.github.io/?https://rsaw.githubusercontent.com/BenSiv/PopAT-expression-analysis/main/PopAT_Expression.html" TargetMode="External" /><Relationship Type="http://schemas.openxmlformats.org/officeDocument/2006/relationships/hyperlink" Id="rId31" Target="https://ourworldindata.org/" TargetMode="External" /><Relationship Type="http://schemas.openxmlformats.org/officeDocument/2006/relationships/hyperlink" Id="rId97" Target="https://ourworldindata.org/grapher/global-agricultural-land-use-by-major-crop-type" TargetMode="External" /><Relationship Type="http://schemas.openxmlformats.org/officeDocument/2006/relationships/hyperlink" Id="rId54" Target="https://shop.gbo.com/en/row/products/bioscience/microbiology-bacteriology/dishes/petri-dishes/" TargetMode="External" /><Relationship Type="http://schemas.openxmlformats.org/officeDocument/2006/relationships/hyperlink" Id="rId65" Target="https://topac.com/documents/geldoc_%20catalogue.pdf" TargetMode="External" /><Relationship Type="http://schemas.openxmlformats.org/officeDocument/2006/relationships/hyperlink" Id="rId72" Target="https://trace.ncbi.nlm.nih.gov/Traces/sra/sra.cgi?view=software" TargetMode="External" /><Relationship Type="http://schemas.openxmlformats.org/officeDocument/2006/relationships/hyperlink" Id="rId52" Target="https://www.addgene.org/" TargetMode="External" /><Relationship Type="http://schemas.openxmlformats.org/officeDocument/2006/relationships/hyperlink" Id="rId49" Target="https://www.addgene.org/protocols/bacterial-transformation/" TargetMode="External" /><Relationship Type="http://schemas.openxmlformats.org/officeDocument/2006/relationships/hyperlink" Id="rId46" Target="https://www.addgene.org/protocols/gibson-assembly/" TargetMode="External" /><Relationship Type="http://schemas.openxmlformats.org/officeDocument/2006/relationships/hyperlink" Id="rId58" Target="https://www.bio-rad.com/en-il/product/micropulser-electroporator?ID=83527990-34fb-4b33-b955-ca53b57bf8b9" TargetMode="External" /><Relationship Type="http://schemas.openxmlformats.org/officeDocument/2006/relationships/hyperlink" Id="rId56" Target="https://www.formedium.com/product/agar/" TargetMode="External" /><Relationship Type="http://schemas.openxmlformats.org/officeDocument/2006/relationships/hyperlink" Id="rId55" Target="https://www.formedium.com/product/lb-broth-lennox/" TargetMode="External" /><Relationship Type="http://schemas.openxmlformats.org/officeDocument/2006/relationships/hyperlink" Id="rId138" Target="https://www.frontiersin.org" TargetMode="External" /><Relationship Type="http://schemas.openxmlformats.org/officeDocument/2006/relationships/hyperlink" Id="rId57" Target="https://www.geneaid.com/product.php?act=view&amp;id=180" TargetMode="External" /><Relationship Type="http://schemas.openxmlformats.org/officeDocument/2006/relationships/hyperlink" Id="rId53" Target="https://www.genscript.com/" TargetMode="External" /><Relationship Type="http://schemas.openxmlformats.org/officeDocument/2006/relationships/hyperlink" Id="rId71" Target="https://www.ncbi.nlm.nih.gov/bioproject/?term=(Populus%20tremula%20x%20alba,%20clone%20717%20Transcriptome)%20AND%20bioproject_sra%5Bfilter%5D%20NOT%20bioproject_gap%5Bfilter%5D" TargetMode="External" /><Relationship Type="http://schemas.openxmlformats.org/officeDocument/2006/relationships/hyperlink" Id="rId74" Target="https://www.ncbi.nlm.nih.gov/datasets/genomes/?txid=3689&amp;term=Populus&amp;utm_source=gquery&amp;utm_medium=referral&amp;utm_campaign=:assemb" TargetMode="External" /><Relationship Type="http://schemas.openxmlformats.org/officeDocument/2006/relationships/hyperlink" Id="rId64" Target="https://www.sigmaaldrich.com/catalog/product/sigma/h6269?lang=en&amp;region=IL" TargetMode="External" /><Relationship Type="http://schemas.openxmlformats.org/officeDocument/2006/relationships/hyperlink" Id="rId59" Target="https://www.thermofisher.com/order/catalog/product/69720#/69720" TargetMode="External" /></Relationships>
</file>

<file path=word/_rels/footnotes.xml.rels><?xml version="1.0" encoding="UTF-8"?><Relationships xmlns="http://schemas.openxmlformats.org/package/2006/relationships"><Relationship Type="http://schemas.openxmlformats.org/officeDocument/2006/relationships/hyperlink" Id="rId143" Target="http://dx.doi.org/10.1016/j.wace.2014.04.004" TargetMode="External" /><Relationship Type="http://schemas.openxmlformats.org/officeDocument/2006/relationships/hyperlink" Id="rId48" Target="http://schepartzlab.yale.edu/intranet/protocols/AgaroseGelElectrophores.pdf" TargetMode="External" /><Relationship Type="http://schemas.openxmlformats.org/officeDocument/2006/relationships/hyperlink" Id="rId47" Target="https://blog.addgene.org/plasmids-101-golden-gate-cloning" TargetMode="External" /><Relationship Type="http://schemas.openxmlformats.org/officeDocument/2006/relationships/hyperlink" Id="rId66" Target="https://dna.macrogen-europe.com/eng/index.jsp" TargetMode="External" /><Relationship Type="http://schemas.openxmlformats.org/officeDocument/2006/relationships/hyperlink" Id="rId98" Target="https://genome.jgi.doe.gov/portal/PoptreSequencing_FD/PoptreSequencing_FD.info.html" TargetMode="External" /><Relationship Type="http://schemas.openxmlformats.org/officeDocument/2006/relationships/hyperlink" Id="rId75" Target="https://github.com/BenSiv/PopAT-expression-analysis" TargetMode="External" /><Relationship Type="http://schemas.openxmlformats.org/officeDocument/2006/relationships/hyperlink" Id="rId73" Target="https://github.com/OpenGene/fastp" TargetMode="External" /><Relationship Type="http://schemas.openxmlformats.org/officeDocument/2006/relationships/hyperlink" Id="rId101" Target="https://htmlpreview.github.io/?https://rsaw.githubusercontent.com/BenSiv/PopAT-expression-analysis/main/PopAT_Expression.html" TargetMode="External" /><Relationship Type="http://schemas.openxmlformats.org/officeDocument/2006/relationships/hyperlink" Id="rId31" Target="https://ourworldindata.org/" TargetMode="External" /><Relationship Type="http://schemas.openxmlformats.org/officeDocument/2006/relationships/hyperlink" Id="rId97" Target="https://ourworldindata.org/grapher/global-agricultural-land-use-by-major-crop-type" TargetMode="External" /><Relationship Type="http://schemas.openxmlformats.org/officeDocument/2006/relationships/hyperlink" Id="rId54" Target="https://shop.gbo.com/en/row/products/bioscience/microbiology-bacteriology/dishes/petri-dishes/" TargetMode="External" /><Relationship Type="http://schemas.openxmlformats.org/officeDocument/2006/relationships/hyperlink" Id="rId65" Target="https://topac.com/documents/geldoc_%20catalogue.pdf" TargetMode="External" /><Relationship Type="http://schemas.openxmlformats.org/officeDocument/2006/relationships/hyperlink" Id="rId72" Target="https://trace.ncbi.nlm.nih.gov/Traces/sra/sra.cgi?view=software" TargetMode="External" /><Relationship Type="http://schemas.openxmlformats.org/officeDocument/2006/relationships/hyperlink" Id="rId52" Target="https://www.addgene.org/" TargetMode="External" /><Relationship Type="http://schemas.openxmlformats.org/officeDocument/2006/relationships/hyperlink" Id="rId49" Target="https://www.addgene.org/protocols/bacterial-transformation/" TargetMode="External" /><Relationship Type="http://schemas.openxmlformats.org/officeDocument/2006/relationships/hyperlink" Id="rId46" Target="https://www.addgene.org/protocols/gibson-assembly/" TargetMode="External" /><Relationship Type="http://schemas.openxmlformats.org/officeDocument/2006/relationships/hyperlink" Id="rId58" Target="https://www.bio-rad.com/en-il/product/micropulser-electroporator?ID=83527990-34fb-4b33-b955-ca53b57bf8b9" TargetMode="External" /><Relationship Type="http://schemas.openxmlformats.org/officeDocument/2006/relationships/hyperlink" Id="rId56" Target="https://www.formedium.com/product/agar/" TargetMode="External" /><Relationship Type="http://schemas.openxmlformats.org/officeDocument/2006/relationships/hyperlink" Id="rId55" Target="https://www.formedium.com/product/lb-broth-lennox/" TargetMode="External" /><Relationship Type="http://schemas.openxmlformats.org/officeDocument/2006/relationships/hyperlink" Id="rId138" Target="https://www.frontiersin.org" TargetMode="External" /><Relationship Type="http://schemas.openxmlformats.org/officeDocument/2006/relationships/hyperlink" Id="rId57" Target="https://www.geneaid.com/product.php?act=view&amp;id=180" TargetMode="External" /><Relationship Type="http://schemas.openxmlformats.org/officeDocument/2006/relationships/hyperlink" Id="rId53" Target="https://www.genscript.com/" TargetMode="External" /><Relationship Type="http://schemas.openxmlformats.org/officeDocument/2006/relationships/hyperlink" Id="rId71" Target="https://www.ncbi.nlm.nih.gov/bioproject/?term=(Populus%20tremula%20x%20alba,%20clone%20717%20Transcriptome)%20AND%20bioproject_sra%5Bfilter%5D%20NOT%20bioproject_gap%5Bfilter%5D" TargetMode="External" /><Relationship Type="http://schemas.openxmlformats.org/officeDocument/2006/relationships/hyperlink" Id="rId74" Target="https://www.ncbi.nlm.nih.gov/datasets/genomes/?txid=3689&amp;term=Populus&amp;utm_source=gquery&amp;utm_medium=referral&amp;utm_campaign=:assemb" TargetMode="External" /><Relationship Type="http://schemas.openxmlformats.org/officeDocument/2006/relationships/hyperlink" Id="rId64" Target="https://www.sigmaaldrich.com/catalog/product/sigma/h6269?lang=en&amp;region=IL" TargetMode="External" /><Relationship Type="http://schemas.openxmlformats.org/officeDocument/2006/relationships/hyperlink" Id="rId59" Target="https://www.thermofisher.com/order/catalog/product/69720#/69720"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Developing novel methods for gene editing in trees</dc:title>
  <dc:creator>Ben Sivan</dc:creator>
  <cp:keywords/>
  <dcterms:created xsi:type="dcterms:W3CDTF">2021-12-14T09:39:06Z</dcterms:created>
  <dcterms:modified xsi:type="dcterms:W3CDTF">2021-12-14T09:39:06Z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graphy">
    <vt:lpwstr>library.bib</vt:lpwstr>
  </property>
  <property fmtid="{D5CDD505-2E9C-101B-9397-08002B2CF9AE}" pid="4" name="csl">
    <vt:lpwstr>Taylor &amp; Francis - Council of Science Editors.csl</vt:lpwstr>
  </property>
  <property fmtid="{D5CDD505-2E9C-101B-9397-08002B2CF9AE}" pid="5" name="date">
    <vt:lpwstr>april 2021</vt:lpwstr>
  </property>
  <property fmtid="{D5CDD505-2E9C-101B-9397-08002B2CF9AE}" pid="6" name="header-includes">
    <vt:lpwstr/>
  </property>
  <property fmtid="{D5CDD505-2E9C-101B-9397-08002B2CF9AE}" pid="7" name="output">
    <vt:lpwstr/>
  </property>
</Properties>
</file>